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CH09 (EN)</w:t>
      </w:r>
    </w:p>
    <w:p>
      <w:pPr>
        <w:spacing w:line="360" w:lineRule="auto" w:after="160"/>
      </w:pPr>
      <w:r>
        <w:t>一、单项选择题</w:t>
      </w:r>
    </w:p>
    <w:p>
      <w:pPr>
        <w:spacing w:line="360" w:lineRule="auto" w:after="40"/>
      </w:pPr>
      <w:r>
        <w:t>1. A large international bank is conducting a comprehensive review of its risk management framework to ensure it effectively addresses various financial crime risks, including AML, CFT, sanctions, fraud, anti-bribery and corruption (ABC), and tax evasion. The bank's compliance team is responsible for evaluating the current risk assessment processes, identifying potential gaps, and recommending enhancements to better mitigate these risks. During this review, the team needs to consider the different types of risk assessments and how to integrate findings into the overall risk management strategy. Which approach should the compliance team prioritize to enhance the bank's ability to identify, assess, and mitigate the identified risks?</w:t>
      </w:r>
    </w:p>
    <w:p>
      <w:pPr>
        <w:spacing w:line="360" w:lineRule="auto" w:after="20"/>
        <w:ind w:firstLine="283"/>
      </w:pPr>
      <w:r>
        <w:t>A. Use a static risk assessment model that remains unchanged until a significant regulatory update occurs to ensure consistency in the evaluation process over time</w:t>
      </w:r>
    </w:p>
    <w:p>
      <w:pPr>
        <w:spacing w:line="360" w:lineRule="auto" w:after="20"/>
        <w:ind w:firstLine="283"/>
      </w:pPr>
      <w:r>
        <w:t>B. Delegate the risk assessment process to individual business units to conduct independently and allow for specialized assessments tailored to each unit's specific activities</w:t>
      </w:r>
    </w:p>
    <w:p>
      <w:pPr>
        <w:spacing w:line="360" w:lineRule="auto" w:after="20"/>
        <w:ind w:firstLine="283"/>
      </w:pPr>
      <w:r>
        <w:t>C. Conduct a periodic enterprise-wide risk assessment that includes identifying inherent risks, evaluating the effectiveness of existing controls, and determining residual risks</w:t>
      </w:r>
    </w:p>
    <w:p>
      <w:pPr>
        <w:spacing w:line="360" w:lineRule="auto" w:after="20"/>
        <w:ind w:firstLine="283"/>
      </w:pPr>
      <w:r>
        <w:t>D. Focus primarily on AML risk assessments, as these are typically the most scrutinized by regulators, while addressing other financial crime risks only when issues are identified</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全机构风险评估（EWRA）的核心定义与三步流程</w:t>
      </w:r>
    </w:p>
    <w:p>
      <w:pPr>
        <w:spacing w:before="120" w:after="40"/>
      </w:pPr>
      <w:r>
        <w:rPr>
          <w:b/>
          <w:sz w:val="21"/>
          <w:shd w:fill="D6E4F0" w:val="clear"/>
        </w:rPr>
        <w:t>核心解析：</w:t>
      </w:r>
    </w:p>
    <w:p>
      <w:pPr>
        <w:spacing w:line="360" w:lineRule="auto" w:after="40"/>
        <w:ind w:firstLine="420"/>
      </w:pPr>
      <w:r>
        <w:t>全机构风险评估（Enterprisewide Risk Assessment, EWRA）是金融机构从整体层面识别和理解自身面临的洗钱/恐怖融资风险的流程。其标准流程包含三个关键步骤：</w:t>
      </w:r>
      <w:r>
        <w:rPr>
          <w:b/>
        </w:rPr>
        <w:t>识别固有风险 → 评估现有控制措施的有效性 → 确定剩余风险</w:t>
      </w:r>
      <w:r>
        <w:rPr>
          <w:sz w:val="15"/>
          <w:vertAlign w:val="superscript"/>
        </w:rPr>
        <w:t>P285、P268</w:t>
      </w:r>
      <w:r>
        <w:t>。题干中银行合规团队的目标是对“各类金融犯罪风险”进行“全面审查”以“识别、评估和降低已识别风险”，这三个要求恰好分别对应EWRA三步流程的输出——固有风险的识别、控制有效性的评估、以及缓解后剩余风险的确定。由此可推断，定期开展企业范围风险评估是题干场景下最直接匹配的方法。</w:t>
      </w:r>
    </w:p>
    <w:p>
      <w:pPr>
        <w:spacing w:before="120" w:after="40"/>
      </w:pPr>
      <w:r>
        <w:rPr>
          <w:b/>
          <w:sz w:val="21"/>
          <w:shd w:fill="D6E4F0" w:val="clear"/>
        </w:rPr>
        <w:t>A项错误：</w:t>
      </w:r>
    </w:p>
    <w:p>
      <w:pPr>
        <w:spacing w:line="360" w:lineRule="auto" w:after="40"/>
        <w:ind w:firstLine="420"/>
      </w:pPr>
      <w:r>
        <w:t>教材指出金融犯罪风险是动态且不断演变的，犯罪分子持续寻找漏洞</w:t>
      </w:r>
      <w:r>
        <w:rPr>
          <w:sz w:val="15"/>
          <w:vertAlign w:val="superscript"/>
        </w:rPr>
        <w:t>P283</w:t>
      </w:r>
      <w:r>
        <w:t>，FATF和监管机构提倡主动风险管理并按要求重新评估风险</w:t>
      </w:r>
      <w:r>
        <w:rPr>
          <w:sz w:val="15"/>
          <w:vertAlign w:val="superscript"/>
        </w:rPr>
        <w:t>P283</w:t>
      </w:r>
      <w:r>
        <w:t>。静态模型与这种风险动态性抵触，相比之下题干更支持持续更新而非一成不变的方法。</w:t>
      </w:r>
    </w:p>
    <w:p>
      <w:pPr>
        <w:spacing w:before="120" w:after="40"/>
      </w:pPr>
      <w:r>
        <w:rPr>
          <w:b/>
          <w:sz w:val="21"/>
          <w:shd w:fill="D6E4F0" w:val="clear"/>
        </w:rPr>
        <w:t>B项错误：</w:t>
      </w:r>
    </w:p>
    <w:p>
      <w:pPr>
        <w:spacing w:line="360" w:lineRule="auto" w:after="40"/>
        <w:ind w:firstLine="420"/>
      </w:pPr>
      <w:r>
        <w:t>题干要求“全面审查”和“整合到整体的风险管理策略中”，而选项B将评估流程“委托给各个业务部门独立进行”。教材强调机构需要进行独立评估以确保风险控制有效</w:t>
      </w:r>
      <w:r>
        <w:rPr>
          <w:sz w:val="15"/>
          <w:vertAlign w:val="superscript"/>
        </w:rPr>
        <w:t>P272</w:t>
      </w:r>
      <w:r>
        <w:t>，但这里的“独立”指独立于被评估业务单元，而非由各业务单元自己独立评估自己。相比之下，C选项的企业范围方法更吻合题干对全局整合的要求。</w:t>
      </w:r>
    </w:p>
    <w:p>
      <w:pPr>
        <w:spacing w:before="120" w:after="40"/>
      </w:pPr>
      <w:r>
        <w:rPr>
          <w:b/>
          <w:sz w:val="21"/>
          <w:shd w:fill="D6E4F0" w:val="clear"/>
        </w:rPr>
        <w:t>D项错误：</w:t>
      </w:r>
    </w:p>
    <w:p>
      <w:pPr>
        <w:spacing w:line="360" w:lineRule="auto" w:after="40"/>
        <w:ind w:firstLine="420"/>
      </w:pPr>
      <w:r>
        <w:t>题干明确列举的金融犯罪风险包括反洗钱、打击资助恐怖主义、制裁、欺诈、反贿赂与反腐败及逃税等多个领域，而选项D将关注范围限定为“主要关注反洗钱风险评估”“仅在发现问题时处理其他”。这缩小了题干要求的覆盖范围。教材在分类风险评估类型时，也将欺诈风险评估、扩散融资风险评估等与反洗钱并列为组织可根据风险暴露开展的特定评估</w:t>
      </w:r>
      <w:r>
        <w:rPr>
          <w:sz w:val="15"/>
          <w:vertAlign w:val="superscript"/>
        </w:rPr>
        <w:t>P269</w:t>
      </w:r>
      <w:r>
        <w:t>。</w:t>
      </w:r>
    </w:p>
    <w:p>
      <w:pPr>
        <w:spacing w:before="120" w:after="40"/>
      </w:pPr>
      <w:r>
        <w:rPr>
          <w:b/>
          <w:sz w:val="21"/>
          <w:shd w:fill="D6E4F0" w:val="clear"/>
        </w:rPr>
        <w:t>易错提醒：</w:t>
      </w:r>
    </w:p>
    <w:p>
      <w:pPr>
        <w:spacing w:line="360" w:lineRule="auto" w:after="40"/>
        <w:ind w:firstLine="420"/>
      </w:pPr>
      <w:r>
        <w:t>学生容易混淆“独立评估”和“各业务单元独立做评估”。教材中的“independent assessments”指由独立于业务单元的部门（如内审或合规）来评估风险控制是否有效</w:t>
      </w:r>
      <w:r>
        <w:rPr>
          <w:sz w:val="15"/>
          <w:vertAlign w:val="superscript"/>
        </w:rPr>
        <w:t>P272</w:t>
      </w:r>
      <w:r>
        <w:t>，而不是让各部门自己评自己。EWRA是站在全机构高度，综合各业务单元信息后做出的全局判断。</w:t>
      </w:r>
    </w:p>
    <w:p>
      <w:pPr>
        <w:spacing w:line="360" w:lineRule="auto" w:after="120"/>
      </w:pPr>
      <w:r/>
    </w:p>
    <w:p>
      <w:pPr>
        <w:spacing w:line="360" w:lineRule="auto" w:after="40"/>
      </w:pPr>
      <w:r>
        <w:t>2. A company is rapidly expanding into several international markets, including jurisdictions considered high risk in terms of regulatory oversight. The board has requested the Money Laundering Reporting Officer (MLRO) to review and adjust the company's anti-financial crime (AFC) compliance framework to align with the evolving regulatory landscape and expansion strategy. During this process, the MLRO identifies vulnerabilities, particularly in markets with AML deficiencies, and updates the framework to mitigate these risks. Which element of the AFC compliance program does this process describe?</w:t>
      </w:r>
    </w:p>
    <w:p>
      <w:pPr>
        <w:spacing w:line="360" w:lineRule="auto" w:after="20"/>
        <w:ind w:firstLine="283"/>
      </w:pPr>
      <w:r>
        <w:t>A. Governance arrangements</w:t>
      </w:r>
    </w:p>
    <w:p>
      <w:pPr>
        <w:spacing w:line="360" w:lineRule="auto" w:after="20"/>
        <w:ind w:firstLine="283"/>
      </w:pPr>
      <w:r>
        <w:t>B. Transaction monitoring</w:t>
      </w:r>
    </w:p>
    <w:p>
      <w:pPr>
        <w:spacing w:line="360" w:lineRule="auto" w:after="20"/>
        <w:ind w:firstLine="283"/>
      </w:pPr>
      <w:r>
        <w:t>C. Training and awareness</w:t>
      </w:r>
    </w:p>
    <w:p>
      <w:pPr>
        <w:spacing w:line="360" w:lineRule="auto" w:after="20"/>
        <w:ind w:firstLine="283"/>
      </w:pPr>
      <w:r>
        <w:t>D. Risk assessment</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识别风险评估作为AFC合规框架动态调整的触发要素</w:t>
      </w:r>
    </w:p>
    <w:p>
      <w:pPr>
        <w:spacing w:before="120" w:after="40"/>
      </w:pPr>
      <w:r>
        <w:rPr>
          <w:b/>
          <w:sz w:val="21"/>
          <w:shd w:fill="D6E4F0" w:val="clear"/>
        </w:rPr>
        <w:t>核心解析：</w:t>
      </w:r>
    </w:p>
    <w:p>
      <w:pPr>
        <w:spacing w:line="360" w:lineRule="auto" w:after="40"/>
        <w:ind w:firstLine="420"/>
      </w:pPr>
      <w:r>
        <w:t>风险评估流程是强大风险管理项目的基础</w:t>
      </w:r>
      <w:r>
        <w:rPr>
          <w:sz w:val="15"/>
          <w:vertAlign w:val="superscript"/>
        </w:rPr>
        <w:t>P265</w:t>
      </w:r>
      <w:r>
        <w:t>。组织在</w:t>
      </w:r>
      <w:r>
        <w:rPr>
          <w:b/>
        </w:rPr>
        <w:t>业务发生重大变化时必须重新评估风险</w:t>
      </w:r>
      <w:r>
        <w:t>，教材举例包括进入新市场或经营司法管辖区发生变化；持续评估金融犯罪风险也有助于应对新兴地域风险</w:t>
      </w:r>
      <w:r>
        <w:rPr>
          <w:sz w:val="15"/>
          <w:vertAlign w:val="superscript"/>
        </w:rPr>
        <w:t>P283</w:t>
      </w:r>
      <w:r>
        <w:t>。题干中，公司向多个国际市场扩张并进入</w:t>
      </w:r>
      <w:r>
        <w:rPr>
          <w:b/>
        </w:rPr>
        <w:t>高风险司法管辖区</w:t>
      </w:r>
      <w:r>
        <w:t>，MLRO据此审查AFC框架、识别存在反洗钱制度缺陷市场的漏洞，并更新框架以降低风险，与上述风险重新评估的触发条件和目的直接对应。董事会发出要求、MLRO负责执行体现了治理角色，但教材同时说明董事会或高管提供战略监督，而</w:t>
      </w:r>
      <w:r>
        <w:rPr>
          <w:b/>
        </w:rPr>
        <w:t>MLRO可领导风险评估</w:t>
      </w:r>
      <w:r>
        <w:rPr>
          <w:sz w:val="15"/>
          <w:vertAlign w:val="superscript"/>
        </w:rPr>
        <w:t>P295</w:t>
      </w:r>
      <w:r>
        <w:t>。因此，在本题中，董事会和MLRO交代了谁授权、谁执行，流程的实际内容仍是因市场和司法管辖区变化而重新评估风险，D项最直接。</w:t>
      </w:r>
    </w:p>
    <w:p>
      <w:pPr>
        <w:spacing w:before="120" w:after="40"/>
      </w:pPr>
      <w:r>
        <w:rPr>
          <w:b/>
          <w:sz w:val="21"/>
          <w:shd w:fill="D6E4F0" w:val="clear"/>
        </w:rPr>
        <w:t>教材原句：</w:t>
      </w:r>
    </w:p>
    <w:p>
      <w:pPr>
        <w:spacing w:line="360" w:lineRule="auto" w:after="40"/>
        <w:ind w:firstLine="420"/>
      </w:pPr>
      <w:r>
        <w:t>"Organizations must reevaluate risks whenever there is a material change to their business. This could include higher-risk product offerings, entering a new market, or changes in jurisdictions where the organization operates."</w:t>
      </w:r>
    </w:p>
    <w:p>
      <w:pPr>
        <w:spacing w:before="120" w:after="40"/>
      </w:pPr>
      <w:r>
        <w:rPr>
          <w:b/>
          <w:sz w:val="21"/>
          <w:shd w:fill="D6E4F0" w:val="clear"/>
        </w:rPr>
        <w:t>A项错误：治理安排与题干并非毫无关系：</w:t>
      </w:r>
    </w:p>
    <w:p>
      <w:pPr>
        <w:spacing w:line="360" w:lineRule="auto" w:after="40"/>
        <w:ind w:firstLine="420"/>
      </w:pPr>
      <w:r>
        <w:t>董事会提出要求、MLRO负责落实，分别体现了战略监督和职责执行；教材也说明董事会或高管提供AFC战略监督，MLRO可领导政策执行和风险评估</w:t>
      </w:r>
      <w:r>
        <w:rPr>
          <w:sz w:val="15"/>
          <w:vertAlign w:val="superscript"/>
        </w:rPr>
        <w:t>P295</w:t>
      </w:r>
      <w:r>
        <w:t>。但题目问的是所描述流程的要素，其主要动作是因进入新市场而识别地域风险和控制漏洞，并更新框架以缓释风险，直接对应的风险重新评估</w:t>
      </w:r>
      <w:r>
        <w:rPr>
          <w:sz w:val="15"/>
          <w:vertAlign w:val="superscript"/>
        </w:rPr>
        <w:t>P283</w:t>
      </w:r>
      <w:r>
        <w:t>。A项描述了题干中的角色与监督背景，但不如D项概括流程本身准确。</w:t>
      </w:r>
    </w:p>
    <w:p>
      <w:pPr>
        <w:spacing w:before="120" w:after="40"/>
      </w:pPr>
      <w:r>
        <w:rPr>
          <w:b/>
          <w:sz w:val="21"/>
          <w:shd w:fill="D6E4F0" w:val="clear"/>
        </w:rPr>
        <w:t>B项错误：</w:t>
      </w:r>
    </w:p>
    <w:p>
      <w:pPr>
        <w:spacing w:line="360" w:lineRule="auto" w:after="40"/>
        <w:ind w:firstLine="420"/>
      </w:pPr>
      <w:r>
        <w:t>交易监控指在开户后持续观察客户交易，以识别异常或非法活动及其对组织的风险</w:t>
      </w:r>
      <w:r>
        <w:rPr>
          <w:sz w:val="15"/>
          <w:vertAlign w:val="superscript"/>
        </w:rPr>
        <w:t>P329</w:t>
      </w:r>
      <w:r>
        <w:t>。题干未涉及客户交易或异常交易检测，而是在市场扩张后审查整体AFC框架并识别风险漏洞，因此更直接匹配风险评估。</w:t>
      </w:r>
    </w:p>
    <w:p>
      <w:pPr>
        <w:spacing w:before="120" w:after="40"/>
      </w:pPr>
      <w:r>
        <w:rPr>
          <w:b/>
          <w:sz w:val="21"/>
          <w:shd w:fill="D6E4F0" w:val="clear"/>
        </w:rPr>
        <w:t>C项错误：</w:t>
      </w:r>
    </w:p>
    <w:p>
      <w:pPr>
        <w:spacing w:line="360" w:lineRule="auto" w:after="40"/>
        <w:ind w:firstLine="420"/>
      </w:pPr>
      <w:r>
        <w:t>题干未涉及向员工提供培训、传递知识或提升意识，全部动作都围绕新市场风险、框架漏洞及风险缓释展开，因此C项不如D项匹配。</w:t>
      </w:r>
    </w:p>
    <w:p>
      <w:pPr>
        <w:spacing w:before="120" w:after="40"/>
      </w:pPr>
      <w:r>
        <w:rPr>
          <w:b/>
          <w:sz w:val="21"/>
          <w:shd w:fill="D6E4F0" w:val="clear"/>
        </w:rPr>
        <w:t>易错提醒：</w:t>
      </w:r>
    </w:p>
    <w:p>
      <w:pPr>
        <w:spacing w:line="360" w:lineRule="auto" w:after="40"/>
        <w:ind w:firstLine="420"/>
      </w:pPr>
      <w:r>
        <w:t>不要仅凭题干出现“董事会”或“MLRO”就选择治理安排。教材一方面说明董事会或高管提供战略监督，另一方面也明确将风险评估列入MLRO可以领导的工作</w:t>
      </w:r>
      <w:r>
        <w:rPr>
          <w:sz w:val="15"/>
          <w:vertAlign w:val="superscript"/>
        </w:rPr>
        <w:t>P295</w:t>
      </w:r>
      <w:r>
        <w:t>，因此主体身份不能单独决定答案。应继续看其实际执行的流程：当主要动作是因进入新市场或经营司法管辖区变化而重新识别风险、分析漏洞并调整缓释措施时，直接指向风险评估</w:t>
      </w:r>
      <w:r>
        <w:rPr>
          <w:sz w:val="15"/>
          <w:vertAlign w:val="superscript"/>
        </w:rPr>
        <w:t>P283</w:t>
      </w:r>
      <w:r>
        <w:t>；治理信息在本题中主要是授权和职责背景。</w:t>
      </w:r>
    </w:p>
    <w:p>
      <w:pPr>
        <w:spacing w:line="360" w:lineRule="auto" w:after="120"/>
      </w:pPr>
      <w:r/>
    </w:p>
    <w:p>
      <w:pPr>
        <w:spacing w:line="360" w:lineRule="auto" w:after="40"/>
      </w:pPr>
      <w:r>
        <w:t>3. Which changes at a financial institution (FI) should trigger an enterprise-wide reassessment of its inherent AML risk exposure? (Select three.)</w:t>
      </w:r>
    </w:p>
    <w:p>
      <w:pPr>
        <w:spacing w:line="360" w:lineRule="auto" w:after="20"/>
        <w:ind w:firstLine="283"/>
      </w:pPr>
      <w:r>
        <w:t>A. Introduction of new products or services.</w:t>
      </w:r>
    </w:p>
    <w:p>
      <w:pPr>
        <w:spacing w:line="360" w:lineRule="auto" w:after="20"/>
        <w:ind w:firstLine="283"/>
      </w:pPr>
      <w:r>
        <w:t>B. Mergers or acquisitions.</w:t>
      </w:r>
    </w:p>
    <w:p>
      <w:pPr>
        <w:spacing w:line="360" w:lineRule="auto" w:after="20"/>
        <w:ind w:firstLine="283"/>
      </w:pPr>
      <w:r>
        <w:t>C. Restructuring of the FI's risk and compliance functions.</w:t>
      </w:r>
    </w:p>
    <w:p>
      <w:pPr>
        <w:spacing w:line="360" w:lineRule="auto" w:after="20"/>
        <w:ind w:firstLine="283"/>
      </w:pPr>
      <w:r>
        <w:t>D. Use of new technologies for delivering existing products.</w:t>
      </w:r>
    </w:p>
    <w:p>
      <w:pPr>
        <w:spacing w:line="360" w:lineRule="auto" w:after="20"/>
        <w:ind w:firstLine="283"/>
      </w:pPr>
      <w:r>
        <w:t>E. Changes in the individuals overseeing the FI's product lines and sales strategies.</w:t>
      </w:r>
    </w:p>
    <w:p>
      <w:pPr>
        <w:spacing w:line="360" w:lineRule="auto" w:after="40"/>
      </w:pPr>
      <w:r>
        <w:t>答案：A、B、D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触发全企业范围反洗钱风险重新评估的业务变化类型</w:t>
      </w:r>
    </w:p>
    <w:p>
      <w:pPr>
        <w:spacing w:before="120" w:after="40"/>
      </w:pPr>
      <w:r>
        <w:rPr>
          <w:b/>
          <w:sz w:val="21"/>
          <w:shd w:fill="D6E4F0" w:val="clear"/>
        </w:rPr>
        <w:t>核心解析：</w:t>
      </w:r>
    </w:p>
    <w:p>
      <w:pPr>
        <w:spacing w:line="360" w:lineRule="auto" w:after="40"/>
        <w:ind w:firstLine="420"/>
      </w:pPr>
      <w:r>
        <w:t>教材规定，组织在业务发生重大变化时必须重新评估风险，包括</w:t>
      </w:r>
      <w:r>
        <w:rPr>
          <w:b/>
        </w:rPr>
        <w:t>提供高风险产品、进入新市场或运营司法管辖区变更</w:t>
      </w:r>
      <w:r>
        <w:rPr>
          <w:sz w:val="15"/>
          <w:vertAlign w:val="superscript"/>
        </w:rPr>
        <w:t>P283</w:t>
      </w:r>
      <w:r>
        <w:t>。全企业范围风险评估（EWRA）并非仅依赖定期审查，更应在可能改变风险状况的事件发生后启动，如新业务或新司法管辖区</w:t>
      </w:r>
      <w:r>
        <w:rPr>
          <w:sz w:val="15"/>
          <w:vertAlign w:val="superscript"/>
        </w:rPr>
        <w:t>P293</w:t>
      </w:r>
      <w:r>
        <w:t>。题干问的是“应触发”全企业重新评估的变化，A“推出新产品或新服务”、B“合并与收购”和D“利用新技术提供现有产品”均直接改变了机构固有的业务结构、市场范围或运营方式，属于根本性的业务要素变化，与教材列举的触发条件（新产品、新业务、运营方式变更）完全吻合（P283-P284、P293）。合并还会使新实体的风险偏好包含原属机构的高风险活动，本质上是业务边界的重塑</w:t>
      </w:r>
      <w:r>
        <w:rPr>
          <w:sz w:val="15"/>
          <w:vertAlign w:val="superscript"/>
        </w:rPr>
        <w:t>P271</w:t>
      </w:r>
      <w:r>
        <w:t>。相比之下，C是内部职能结构调整，E是人事变动，两者未触及业务要素本身，风险状况的改变是间接的、派生的，匹配度远不如A、B、D。</w:t>
      </w:r>
    </w:p>
    <w:p>
      <w:pPr>
        <w:spacing w:before="120" w:after="40"/>
      </w:pPr>
      <w:r>
        <w:rPr>
          <w:b/>
          <w:sz w:val="21"/>
          <w:shd w:fill="D6E4F0" w:val="clear"/>
        </w:rPr>
        <w:t>教材原句：</w:t>
      </w:r>
    </w:p>
    <w:p>
      <w:pPr>
        <w:spacing w:line="360" w:lineRule="auto" w:after="40"/>
        <w:ind w:firstLine="420"/>
      </w:pPr>
      <w:r>
        <w:t>"Organizations must reevaluate risks whenever there is a material change to their business. This could include higher-risk product offerings, entering a new market, or changes in jurisdictions where the organization operates."</w:t>
      </w:r>
      <w:r>
        <w:rPr>
          <w:sz w:val="15"/>
          <w:vertAlign w:val="superscript"/>
        </w:rPr>
        <w:t>P283</w:t>
      </w:r>
    </w:p>
    <w:p>
      <w:pPr>
        <w:spacing w:before="120" w:after="40"/>
      </w:pPr>
      <w:r>
        <w:rPr>
          <w:b/>
          <w:sz w:val="21"/>
          <w:shd w:fill="D6E4F0" w:val="clear"/>
        </w:rPr>
        <w:t>C项错误：</w:t>
      </w:r>
    </w:p>
    <w:p>
      <w:pPr>
        <w:spacing w:line="360" w:lineRule="auto" w:after="40"/>
        <w:ind w:firstLine="420"/>
      </w:pPr>
      <w:r>
        <w:t>教材提到，结构化、协作的合规职能可增强金融犯罪风险管理，合规人员应被授权实施反洗钱政策并跨职能共享信息。但这些论述讲的是“如何优化控制有效性”，而非“何时必须重新评估固有风险”。风险与合规职能重组属于内部控制架构调整，并不直接等于业务要素（产品、市场、运营方式）发生重大变化（P283-P284、P293），与题干条件的直接关联不如A、B、D。</w:t>
      </w:r>
    </w:p>
    <w:p>
      <w:pPr>
        <w:spacing w:before="120" w:after="40"/>
      </w:pPr>
      <w:r>
        <w:rPr>
          <w:b/>
          <w:sz w:val="21"/>
          <w:shd w:fill="D6E4F0" w:val="clear"/>
        </w:rPr>
        <w:t>E项错误：</w:t>
      </w:r>
    </w:p>
    <w:p>
      <w:pPr>
        <w:spacing w:line="360" w:lineRule="auto" w:after="40"/>
        <w:ind w:firstLine="420"/>
      </w:pPr>
      <w:r>
        <w:t>触发风险审查的变化包括交易模式偏离、客户请求新产品、客户对高风险司法管辖区敞口增加、客户行业变化、组织运营方式变化等（P283-P284）。产品线和销售策略的负责人变更属于人事变化，本身不必然改变业务结构或风险敞口，因此与题干要求的触发条件不匹配。</w:t>
      </w:r>
    </w:p>
    <w:p>
      <w:pPr>
        <w:spacing w:before="120" w:after="40"/>
      </w:pPr>
      <w:r>
        <w:rPr>
          <w:b/>
          <w:sz w:val="21"/>
          <w:shd w:fill="D6E4F0" w:val="clear"/>
        </w:rPr>
        <w:t>易错提醒：</w:t>
      </w:r>
    </w:p>
    <w:p>
      <w:pPr>
        <w:spacing w:line="360" w:lineRule="auto" w:after="40"/>
        <w:ind w:firstLine="420"/>
      </w:pPr>
      <w:r>
        <w:t>区分“业务要素变化”和“管理要素变化”。新业务、新产品、新市场属于业务要素变化，直接改变机构面临的固有风险种类和敞口规模（P283-P284、P293）；人事变动、汇报线调整属于管理要素变化，可能影响控制质量但不直接改变固有风险面。全企业范围重新评估关注的是风险本身是否变了，而不是管风险的人是否变了。</w:t>
      </w:r>
    </w:p>
    <w:p>
      <w:pPr>
        <w:spacing w:line="360" w:lineRule="auto" w:after="120"/>
      </w:pPr>
      <w:r/>
    </w:p>
    <w:p>
      <w:pPr>
        <w:spacing w:line="360" w:lineRule="auto" w:after="40"/>
      </w:pPr>
      <w:r>
        <w:t>4. Which attributes are typically used to assess the vulnerability to money laundering risk of products offered by an insurer? (Choose three.)</w:t>
      </w:r>
    </w:p>
    <w:p>
      <w:pPr>
        <w:spacing w:line="360" w:lineRule="auto" w:after="20"/>
        <w:ind w:firstLine="283"/>
      </w:pPr>
      <w:r>
        <w:t>A. Purpose and intended use.</w:t>
      </w:r>
    </w:p>
    <w:p>
      <w:pPr>
        <w:spacing w:line="360" w:lineRule="auto" w:after="20"/>
        <w:ind w:firstLine="283"/>
      </w:pPr>
      <w:r>
        <w:t>B. Liquidity.</w:t>
      </w:r>
    </w:p>
    <w:p>
      <w:pPr>
        <w:spacing w:line="360" w:lineRule="auto" w:after="20"/>
        <w:ind w:firstLine="283"/>
      </w:pPr>
      <w:r>
        <w:t>C. Age of the beneficiary.</w:t>
      </w:r>
    </w:p>
    <w:p>
      <w:pPr>
        <w:spacing w:line="360" w:lineRule="auto" w:after="20"/>
        <w:ind w:firstLine="283"/>
      </w:pPr>
      <w:r>
        <w:t>D. Customer anonymity or third-party transactions.</w:t>
      </w:r>
    </w:p>
    <w:p>
      <w:pPr>
        <w:spacing w:line="360" w:lineRule="auto" w:after="20"/>
        <w:ind w:firstLine="283"/>
      </w:pPr>
      <w:r>
        <w:t>E. Length of waiting period.</w:t>
      </w:r>
    </w:p>
    <w:p>
      <w:pPr>
        <w:spacing w:line="360" w:lineRule="auto" w:after="40"/>
      </w:pPr>
      <w:r>
        <w:t>答案：A、B、D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保险产品洗钱风险评估的固有属性：目的、流动性、匿名/第三方交易</w:t>
      </w:r>
    </w:p>
    <w:p>
      <w:pPr>
        <w:spacing w:before="120" w:after="40"/>
      </w:pPr>
      <w:r>
        <w:rPr>
          <w:b/>
          <w:sz w:val="21"/>
          <w:shd w:fill="D6E4F0" w:val="clear"/>
        </w:rPr>
        <w:t>核心解析：</w:t>
      </w:r>
    </w:p>
    <w:p>
      <w:pPr>
        <w:spacing w:line="360" w:lineRule="auto" w:after="40"/>
        <w:ind w:firstLine="420"/>
      </w:pPr>
      <w:r>
        <w:t>评估保险产品的洗钱风险脆弱性，应关注产品怎样被使用以及产品自身是否便于隐藏或转移资金。产品和渠道风险评估可通过识别产品实际使用偏离预期用途的情况发现新风险，因此A的目的与预期用途构成评估基准</w:t>
      </w:r>
      <w:r>
        <w:rPr>
          <w:sz w:val="15"/>
          <w:vertAlign w:val="superscript"/>
        </w:rPr>
        <w:t>P284</w:t>
      </w:r>
      <w:r>
        <w:t>。保险业固有AML风险通常低于银行业，原因之一是其</w:t>
      </w:r>
      <w:r>
        <w:rPr>
          <w:b/>
        </w:rPr>
        <w:t>交易流动性较低</w:t>
      </w:r>
      <w:r>
        <w:t>，说明流动性是判断产品风险的重要维度，对应B</w:t>
      </w:r>
      <w:r>
        <w:rPr>
          <w:sz w:val="15"/>
          <w:vertAlign w:val="superscript"/>
        </w:rPr>
        <w:t>P101</w:t>
      </w:r>
      <w:r>
        <w:t>。固有产品特征还包括第三方支付、匿名性和第三方访问，直接对应D</w:t>
      </w:r>
      <w:r>
        <w:rPr>
          <w:sz w:val="15"/>
          <w:vertAlign w:val="superscript"/>
        </w:rPr>
        <w:t>P286</w:t>
      </w:r>
      <w:r>
        <w:t>。由此，A、B、D分别覆盖使用目的、资金变现能力及身份或交易透明度三个产品风险维度。</w:t>
      </w:r>
    </w:p>
    <w:p>
      <w:pPr>
        <w:spacing w:before="120" w:after="40"/>
      </w:pPr>
      <w:r>
        <w:rPr>
          <w:b/>
          <w:sz w:val="21"/>
          <w:shd w:fill="D6E4F0" w:val="clear"/>
        </w:rPr>
        <w:t>C项错误：</w:t>
      </w:r>
    </w:p>
    <w:p>
      <w:pPr>
        <w:spacing w:line="360" w:lineRule="auto" w:after="40"/>
        <w:ind w:firstLine="420"/>
      </w:pPr>
      <w:r>
        <w:t>受益人的年龄描述特定参与方，而不是保险产品的用途、流动性、支付安排、匿名程度或结构。仅凭年龄不能判断该产品是否更易被用于隐藏资金，匹配度不如A、B、D。</w:t>
      </w:r>
    </w:p>
    <w:p>
      <w:pPr>
        <w:spacing w:before="120" w:after="40"/>
      </w:pPr>
      <w:r>
        <w:rPr>
          <w:b/>
          <w:sz w:val="21"/>
          <w:shd w:fill="D6E4F0" w:val="clear"/>
        </w:rPr>
        <w:t>E项错误：</w:t>
      </w:r>
    </w:p>
    <w:p>
      <w:pPr>
        <w:spacing w:line="360" w:lineRule="auto" w:after="40"/>
        <w:ind w:firstLine="420"/>
      </w:pPr>
      <w:r>
        <w:t>教材讨论保险风险时关注流动性、赔付结构、高现金价值、灵活缴费和第三方付款等特征</w:t>
      </w:r>
      <w:r>
        <w:rPr>
          <w:sz w:val="15"/>
          <w:vertAlign w:val="superscript"/>
        </w:rPr>
        <w:t>P101</w:t>
      </w:r>
      <w:r>
        <w:t>，并未将一般性的等待期长短作为通常的产品洗钱脆弱性属性。教材中的相关红旗是冷静期后提前终止、提前现金退保等具体异常行为</w:t>
      </w:r>
      <w:r>
        <w:rPr>
          <w:sz w:val="15"/>
          <w:vertAlign w:val="superscript"/>
        </w:rPr>
        <w:t>P101</w:t>
      </w:r>
      <w:r>
        <w:t>，而不是等待期时长本身。</w:t>
      </w:r>
    </w:p>
    <w:p>
      <w:pPr>
        <w:spacing w:before="120" w:after="40"/>
      </w:pPr>
      <w:r>
        <w:rPr>
          <w:b/>
          <w:sz w:val="21"/>
          <w:shd w:fill="D6E4F0" w:val="clear"/>
        </w:rPr>
        <w:t>易错提醒：</w:t>
      </w:r>
    </w:p>
    <w:p>
      <w:pPr>
        <w:spacing w:line="360" w:lineRule="auto" w:after="40"/>
        <w:ind w:firstLine="420"/>
      </w:pPr>
      <w:r>
        <w:t>区分“产品属性”与“某个参与方的个人属性”。用途、流动性、匿名性和第三方支付会改变产品被滥用的方式</w:t>
      </w:r>
      <w:r>
        <w:rPr>
          <w:sz w:val="15"/>
          <w:vertAlign w:val="superscript"/>
        </w:rPr>
        <w:t>P101、P284、P286</w:t>
      </w:r>
      <w:r>
        <w:t>；受益人年龄本身不改变产品结构。等待期也不能脱离提前退保等具体异常行为单独认定为通常的洗钱脆弱性维度</w:t>
      </w:r>
      <w:r>
        <w:rPr>
          <w:sz w:val="15"/>
          <w:vertAlign w:val="superscript"/>
        </w:rPr>
        <w:t>P101</w:t>
      </w:r>
      <w:r>
        <w:t>。</w:t>
      </w:r>
    </w:p>
    <w:p>
      <w:pPr>
        <w:spacing w:line="360" w:lineRule="auto" w:after="120"/>
      </w:pPr>
      <w:r/>
    </w:p>
    <w:p>
      <w:pPr>
        <w:spacing w:line="360" w:lineRule="auto" w:after="40"/>
      </w:pPr>
      <w:r>
        <w:t>5. Which of the following processes or tools contribute to AML compliance despite being seemingly unrelated? (Choose two.)</w:t>
      </w:r>
    </w:p>
    <w:p>
      <w:pPr>
        <w:spacing w:line="360" w:lineRule="auto" w:after="20"/>
        <w:ind w:firstLine="283"/>
      </w:pPr>
      <w:r>
        <w:t>A. Customer loyalty program tracking.</w:t>
      </w:r>
    </w:p>
    <w:p>
      <w:pPr>
        <w:spacing w:line="360" w:lineRule="auto" w:after="20"/>
        <w:ind w:firstLine="283"/>
      </w:pPr>
      <w:r>
        <w:t>B. Product usage analysis.</w:t>
      </w:r>
    </w:p>
    <w:p>
      <w:pPr>
        <w:spacing w:line="360" w:lineRule="auto" w:after="20"/>
        <w:ind w:firstLine="283"/>
      </w:pPr>
      <w:r>
        <w:t>C. Customer satisfaction surveys.</w:t>
      </w:r>
    </w:p>
    <w:p>
      <w:pPr>
        <w:spacing w:line="360" w:lineRule="auto" w:after="20"/>
        <w:ind w:firstLine="283"/>
      </w:pPr>
      <w:r>
        <w:t>D. Customer support ticket tracking.</w:t>
      </w:r>
    </w:p>
    <w:p>
      <w:pPr>
        <w:spacing w:line="360" w:lineRule="auto" w:after="20"/>
        <w:ind w:firstLine="283"/>
      </w:pPr>
      <w:r>
        <w:t>E. Credit risk assessment.</w:t>
      </w:r>
    </w:p>
    <w:p>
      <w:pPr>
        <w:spacing w:line="360" w:lineRule="auto" w:after="40"/>
      </w:pPr>
      <w:r>
        <w:t>答案：A、B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识别非 AML 职能产生的间接合规信息。</w:t>
      </w:r>
    </w:p>
    <w:p>
      <w:pPr>
        <w:spacing w:before="120" w:after="40"/>
      </w:pPr>
      <w:r>
        <w:rPr>
          <w:b/>
          <w:sz w:val="21"/>
          <w:shd w:fill="D6E4F0" w:val="clear"/>
        </w:rPr>
        <w:t>核心解析：</w:t>
      </w:r>
    </w:p>
    <w:p>
      <w:pPr>
        <w:spacing w:line="360" w:lineRule="auto" w:after="40"/>
        <w:ind w:firstLine="420"/>
      </w:pPr>
      <w:r>
        <w:t>客户忠诚度计划跟踪可以揭示</w:t>
      </w:r>
      <w:r>
        <w:rPr>
          <w:b/>
        </w:rPr>
        <w:t>客户关系、产品使用和行为变化</w:t>
      </w:r>
      <w:r>
        <w:rPr>
          <w:sz w:val="15"/>
          <w:vertAlign w:val="superscript"/>
        </w:rPr>
        <w:t>P263</w:t>
      </w:r>
      <w:r>
        <w:t>；产品使用情况分析则能提供客户实际使用产品和渠道的模式</w:t>
      </w:r>
      <w:r>
        <w:rPr>
          <w:sz w:val="15"/>
          <w:vertAlign w:val="superscript"/>
        </w:rPr>
        <w:t>P286</w:t>
      </w:r>
      <w:r>
        <w:t>。两者虽不是AML控制本身，却能为客户风险画像、异常行为识别和持续监控提供输入。信用风险评估E也可能有参考价值，但相比之下，A、B两项提供的运营信息与题干所问的间接合规信息联系更直接。</w:t>
      </w:r>
    </w:p>
    <w:p>
      <w:pPr>
        <w:spacing w:before="120" w:after="40"/>
      </w:pPr>
      <w:r>
        <w:rPr>
          <w:b/>
          <w:sz w:val="21"/>
          <w:shd w:fill="D6E4F0" w:val="clear"/>
        </w:rPr>
        <w:t>C项错误：</w:t>
      </w:r>
    </w:p>
    <w:p>
      <w:pPr>
        <w:spacing w:line="360" w:lineRule="auto" w:after="40"/>
        <w:ind w:firstLine="420"/>
      </w:pPr>
      <w:r>
        <w:t>客户满意度主要反映服务体验，不如客户行为和产品使用数据直接支持金融犯罪风险判断。</w:t>
      </w:r>
    </w:p>
    <w:p>
      <w:pPr>
        <w:spacing w:before="120" w:after="40"/>
      </w:pPr>
      <w:r>
        <w:rPr>
          <w:b/>
          <w:sz w:val="21"/>
          <w:shd w:fill="D6E4F0" w:val="clear"/>
        </w:rPr>
        <w:t>D项错误：</w:t>
      </w:r>
    </w:p>
    <w:p>
      <w:pPr>
        <w:spacing w:line="360" w:lineRule="auto" w:after="40"/>
        <w:ind w:firstLine="420"/>
      </w:pPr>
      <w:r>
        <w:t>客服工单可能包含线索，但其主要目的为服务处理，题面没有给出其与 AML 风险分析的直接联系。</w:t>
      </w:r>
    </w:p>
    <w:p>
      <w:pPr>
        <w:spacing w:before="120" w:after="40"/>
      </w:pPr>
      <w:r>
        <w:rPr>
          <w:b/>
          <w:sz w:val="21"/>
          <w:shd w:fill="D6E4F0" w:val="clear"/>
        </w:rPr>
        <w:t>E项错误：</w:t>
      </w:r>
    </w:p>
    <w:p>
      <w:pPr>
        <w:spacing w:line="360" w:lineRule="auto" w:after="40"/>
        <w:ind w:firstLine="420"/>
      </w:pPr>
      <w:r>
        <w:t>信用风险评估与AML可以协同，但它解决的是信贷损失和借款人违约风险，不是本题所问的金融犯罪风险。</w:t>
      </w:r>
    </w:p>
    <w:p>
      <w:pPr>
        <w:spacing w:before="120" w:after="40"/>
      </w:pPr>
      <w:r>
        <w:rPr>
          <w:b/>
          <w:sz w:val="21"/>
          <w:shd w:fill="D6E4F0" w:val="clear"/>
        </w:rPr>
        <w:t>易错提醒：</w:t>
      </w:r>
    </w:p>
    <w:p>
      <w:pPr>
        <w:spacing w:line="360" w:lineRule="auto" w:after="40"/>
        <w:ind w:firstLine="420"/>
      </w:pPr>
      <w:r>
        <w:t>判断“看似无关但有助 AML”时，看该流程是否产生可用于描述客户行为或资金活动的数据</w:t>
      </w:r>
      <w:r>
        <w:rPr>
          <w:sz w:val="15"/>
          <w:vertAlign w:val="superscript"/>
        </w:rPr>
        <w:t>P263、P286</w:t>
      </w:r>
      <w:r>
        <w:t>，而不是看部门名称。</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