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Why is it important to use multiple sanctions lists, such as United Nations (UN), Office of Foreign Assets Control (OFAC), and European Union (EU) lists, in name screening systems?</w:t>
      </w:r>
    </w:p>
    <w:p>
      <w:pPr>
        <w:spacing w:line="360" w:lineRule="auto" w:after="20"/>
        <w:ind w:firstLine="283"/>
      </w:pPr>
      <w:r>
        <w:t>A. To avoid sanctions breaches related to payments</w:t>
      </w:r>
    </w:p>
    <w:p>
      <w:pPr>
        <w:spacing w:line="360" w:lineRule="auto" w:after="20"/>
        <w:ind w:firstLine="283"/>
      </w:pPr>
      <w:r>
        <w:t>B. To avoid onboarding customers previously exited due to a true match</w:t>
      </w:r>
    </w:p>
    <w:p>
      <w:pPr>
        <w:spacing w:line="360" w:lineRule="auto" w:after="20"/>
        <w:ind w:firstLine="283"/>
      </w:pPr>
      <w:r>
        <w:t>C. To meet international regulatory requirements and identify risks across jurisdictions</w:t>
      </w:r>
    </w:p>
    <w:p>
      <w:pPr>
        <w:spacing w:line="360" w:lineRule="auto" w:after="20"/>
        <w:ind w:firstLine="283"/>
      </w:pPr>
      <w:r>
        <w:t>D. To be in line with the risk appetite statement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多制裁名单筛查的核心目的是满足国际监管要求并识别跨司法管辖区风险</w:t>
      </w:r>
    </w:p>
    <w:p>
      <w:pPr>
        <w:spacing w:before="120" w:after="40"/>
      </w:pPr>
      <w:r>
        <w:rPr>
          <w:b/>
          <w:sz w:val="21"/>
          <w:shd w:fill="D6E4F0" w:val="clear"/>
        </w:rPr>
        <w:t>核心解析：</w:t>
      </w:r>
    </w:p>
    <w:p>
      <w:pPr>
        <w:spacing w:line="360" w:lineRule="auto" w:after="40"/>
        <w:ind w:firstLine="420"/>
      </w:pPr>
      <w:r>
        <w:t>制裁筛查是将客户信息与</w:t>
      </w:r>
      <w:r>
        <w:rPr>
          <w:b/>
        </w:rPr>
        <w:t>联合国、欧盟、OFAC及国家制裁名单进行交叉核对</w:t>
      </w:r>
      <w:r>
        <w:t>，以发现高风险实体</w:t>
      </w:r>
      <w:r>
        <w:rPr>
          <w:sz w:val="15"/>
          <w:vertAlign w:val="superscript"/>
        </w:rPr>
        <w:t>P305</w:t>
      </w:r>
      <w:r>
        <w:t>。使用多个制裁名单，能够确保机构遵守 OFAC、欧盟和联合国等国际制裁规定</w:t>
      </w:r>
      <w:r>
        <w:rPr>
          <w:sz w:val="15"/>
          <w:vertAlign w:val="superscript"/>
        </w:rPr>
        <w:t>P374</w:t>
      </w:r>
      <w:r>
        <w:t>。选择哪些名单，取决于地理位置、交易币种、业务模式、客户所在地及所从事的活动等跨司法管辖区因素</w:t>
      </w:r>
      <w:r>
        <w:rPr>
          <w:sz w:val="15"/>
          <w:vertAlign w:val="superscript"/>
        </w:rPr>
        <w:t>P419</w:t>
      </w:r>
      <w:r>
        <w:t>。因此，在姓名筛查系统中同时使用多个国际制裁名单，本质上是为了满足</w:t>
      </w:r>
      <w:r>
        <w:rPr>
          <w:b/>
        </w:rPr>
        <w:t>不同司法管辖区的监管要求</w:t>
      </w:r>
      <w:r>
        <w:t>，并全面识别跨国界、跨辖区的制裁风险。</w:t>
      </w:r>
    </w:p>
    <w:p>
      <w:pPr>
        <w:spacing w:before="120" w:after="40"/>
      </w:pPr>
      <w:r>
        <w:rPr>
          <w:b/>
          <w:sz w:val="21"/>
          <w:shd w:fill="D6E4F0" w:val="clear"/>
        </w:rPr>
        <w:t>教材原句：</w:t>
      </w:r>
    </w:p>
    <w:p>
      <w:pPr>
        <w:spacing w:line="360" w:lineRule="auto" w:after="40"/>
        <w:ind w:firstLine="420"/>
      </w:pPr>
      <w:r>
        <w:t>"These tools ensure compliance with international regulations such as OFAC, EU, and UN sanctions lists."</w:t>
      </w:r>
    </w:p>
    <w:p>
      <w:pPr>
        <w:spacing w:before="120" w:after="40"/>
      </w:pPr>
      <w:r>
        <w:rPr>
          <w:b/>
          <w:sz w:val="21"/>
          <w:shd w:fill="D6E4F0" w:val="clear"/>
        </w:rPr>
        <w:t>A项错误：教材区分了姓名筛查与支付筛查的不同节点：</w:t>
      </w:r>
    </w:p>
    <w:p>
      <w:pPr>
        <w:spacing w:line="360" w:lineRule="auto" w:after="40"/>
        <w:ind w:firstLine="420"/>
      </w:pPr>
      <w:r>
        <w:t>姓名筛查在开户前及持续进行，支付筛查在交易前或交易中识别高风险实体</w:t>
      </w:r>
      <w:r>
        <w:rPr>
          <w:sz w:val="15"/>
          <w:vertAlign w:val="superscript"/>
        </w:rPr>
        <w:t>P329</w:t>
      </w:r>
      <w:r>
        <w:t>。题干问的是姓名筛查系统中使用多个制裁名单的重要性，并非特指支付环节。虽然支付筛查同样必须防止制裁违规，但多名单的使用更直接关联的是整体国际合规和跨辖区风险覆盖，而非仅限于支付相关的违规防范。</w:t>
      </w:r>
    </w:p>
    <w:p>
      <w:pPr>
        <w:spacing w:before="120" w:after="40"/>
      </w:pPr>
      <w:r>
        <w:rPr>
          <w:b/>
          <w:sz w:val="21"/>
          <w:shd w:fill="D6E4F0" w:val="clear"/>
        </w:rPr>
        <w:t>B项错误：</w:t>
      </w:r>
    </w:p>
    <w:p>
      <w:pPr>
        <w:spacing w:line="360" w:lineRule="auto" w:after="40"/>
        <w:ind w:firstLine="420"/>
      </w:pPr>
      <w:r>
        <w:t>因真实匹配而退出客户是风险偏好不匹配时逐案审查的结果</w:t>
      </w:r>
      <w:r>
        <w:rPr>
          <w:sz w:val="15"/>
          <w:vertAlign w:val="superscript"/>
        </w:rPr>
        <w:t>P303</w:t>
      </w:r>
      <w:r>
        <w:t>，而使用多制裁名单的主要目的是持续的合规监测和风险识别，并非为了避免重新接纳已退出的客户。这一选项缺失了教材中与名单筛查目的的直接关联，因此在匹配度上不如 C。</w:t>
      </w:r>
    </w:p>
    <w:p>
      <w:pPr>
        <w:spacing w:before="120" w:after="40"/>
      </w:pPr>
      <w:r>
        <w:rPr>
          <w:b/>
          <w:sz w:val="21"/>
          <w:shd w:fill="D6E4F0" w:val="clear"/>
        </w:rPr>
        <w:t>D项错误：</w:t>
      </w:r>
    </w:p>
    <w:p>
      <w:pPr>
        <w:spacing w:line="360" w:lineRule="auto" w:after="40"/>
        <w:ind w:firstLine="420"/>
      </w:pPr>
      <w:r>
        <w:t>风险偏好声明（RAS）由董事会批准，规定机构可接受的风险水平</w:t>
      </w:r>
      <w:r>
        <w:rPr>
          <w:sz w:val="15"/>
          <w:vertAlign w:val="superscript"/>
        </w:rPr>
        <w:t>P271</w:t>
      </w:r>
      <w:r>
        <w:t>。尽管内部控制框架应与风险偏好保持一致，但姓名筛查中使用联合国、OFAC 等多名单首先是基于外部监管义务和识别跨辖区风险的需要，而非仅为了与内部风险偏好对齐。正确项更直接体现了使用这些名单的强制性国际合规目的。</w:t>
      </w:r>
    </w:p>
    <w:p>
      <w:pPr>
        <w:spacing w:line="360" w:lineRule="auto" w:after="120"/>
      </w:pPr>
      <w:r/>
    </w:p>
    <w:p>
      <w:pPr>
        <w:spacing w:line="360" w:lineRule="auto" w:after="40"/>
      </w:pPr>
      <w:r>
        <w:t>2. A subset of financial technology (FinTech) that focuses on technologies designed to facilitate the delivery of regulatory requirements more efficiently and effectively than existing capabilities is known as:</w:t>
      </w:r>
    </w:p>
    <w:p>
      <w:pPr>
        <w:spacing w:line="360" w:lineRule="auto" w:after="20"/>
        <w:ind w:firstLine="283"/>
      </w:pPr>
      <w:r>
        <w:t>A. SupTech</w:t>
      </w:r>
    </w:p>
    <w:p>
      <w:pPr>
        <w:spacing w:line="360" w:lineRule="auto" w:after="20"/>
        <w:ind w:firstLine="283"/>
      </w:pPr>
      <w:r>
        <w:t>B. SubTech</w:t>
      </w:r>
    </w:p>
    <w:p>
      <w:pPr>
        <w:spacing w:line="360" w:lineRule="auto" w:after="20"/>
        <w:ind w:firstLine="283"/>
      </w:pPr>
      <w:r>
        <w:t>C. RegTech</w:t>
      </w:r>
    </w:p>
    <w:p>
      <w:pPr>
        <w:spacing w:line="360" w:lineRule="auto" w:after="20"/>
        <w:ind w:firstLine="283"/>
      </w:pPr>
      <w:r>
        <w:t>D. BlueTech</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RegTech是专注于提升监管合规效率的金融科技子集</w:t>
      </w:r>
    </w:p>
    <w:p>
      <w:pPr>
        <w:spacing w:before="120" w:after="40"/>
      </w:pPr>
      <w:r>
        <w:rPr>
          <w:b/>
          <w:sz w:val="21"/>
          <w:shd w:fill="D6E4F0" w:val="clear"/>
        </w:rPr>
        <w:t>核心解析：</w:t>
      </w:r>
    </w:p>
    <w:p>
      <w:pPr>
        <w:spacing w:line="360" w:lineRule="auto" w:after="40"/>
        <w:ind w:firstLine="420"/>
      </w:pPr>
      <w:r>
        <w:t>世界经济论坛将regulatory technology描述为运用新技术，帮助受严格监管的行业主体履行监管治理、报告、合规和风险管理义务；FATF进一步指出，这类技术通过</w:t>
      </w:r>
      <w:r>
        <w:rPr>
          <w:b/>
        </w:rPr>
        <w:t>提高组织管理金融犯罪风险的效率和有效性</w:t>
      </w:r>
      <w:r>
        <w:t>来增强合规</w:t>
      </w:r>
      <w:r>
        <w:rPr>
          <w:sz w:val="15"/>
          <w:vertAlign w:val="superscript"/>
        </w:rPr>
        <w:t>P372</w:t>
      </w:r>
      <w:r>
        <w:t>。题干同时给出“满足监管要求”和“更高效、更有效”两个要素，只有C项</w:t>
      </w:r>
      <w:r>
        <w:rPr>
          <w:b/>
        </w:rPr>
        <w:t>合规科技（RegTech）</w:t>
      </w:r>
      <w:r>
        <w:t>与教材所述术语及功能同时吻合。因此本题答案为C。</w:t>
      </w:r>
    </w:p>
    <w:p>
      <w:pPr>
        <w:spacing w:before="120" w:after="40"/>
      </w:pPr>
      <w:r>
        <w:rPr>
          <w:b/>
          <w:sz w:val="21"/>
          <w:shd w:fill="D6E4F0" w:val="clear"/>
        </w:rPr>
        <w:t>A项错误：</w:t>
      </w:r>
    </w:p>
    <w:p>
      <w:pPr>
        <w:spacing w:line="360" w:lineRule="auto" w:after="40"/>
        <w:ind w:firstLine="420"/>
      </w:pPr>
      <w:r>
        <w:t>A的英文术语是SupTech，通常指监管机构利用技术提升监管能力；RegTech则服务于受监管行业主体履行合规义务。题干描述的是后者，因此C比A更匹配。</w:t>
      </w:r>
    </w:p>
    <w:p>
      <w:pPr>
        <w:spacing w:before="120" w:after="40"/>
      </w:pPr>
      <w:r>
        <w:rPr>
          <w:b/>
          <w:sz w:val="21"/>
          <w:shd w:fill="D6E4F0" w:val="clear"/>
        </w:rPr>
        <w:t>B项错误：</w:t>
      </w:r>
    </w:p>
    <w:p>
      <w:pPr>
        <w:spacing w:line="360" w:lineRule="auto" w:after="40"/>
        <w:ind w:firstLine="420"/>
      </w:pPr>
      <w:r>
        <w:t>SubTech并非题干所描述的监管合规技术术语，无法与利用技术提升合规效率的定义相匹配。</w:t>
      </w:r>
    </w:p>
    <w:p>
      <w:pPr>
        <w:spacing w:before="120" w:after="40"/>
      </w:pPr>
      <w:r>
        <w:rPr>
          <w:b/>
          <w:sz w:val="21"/>
          <w:shd w:fill="D6E4F0" w:val="clear"/>
        </w:rPr>
        <w:t>D项错误：</w:t>
      </w:r>
    </w:p>
    <w:p>
      <w:pPr>
        <w:spacing w:line="360" w:lineRule="auto" w:after="40"/>
        <w:ind w:firstLine="420"/>
      </w:pPr>
      <w:r>
        <w:t>BlueTech与题干所描述的监管合规技术概念无关，无法匹配利用技术提升合规效率的定义。</w:t>
      </w:r>
    </w:p>
    <w:p>
      <w:pPr>
        <w:spacing w:before="120" w:after="40"/>
      </w:pPr>
      <w:r>
        <w:rPr>
          <w:b/>
          <w:sz w:val="21"/>
          <w:shd w:fill="D6E4F0" w:val="clear"/>
        </w:rPr>
        <w:t>易错提醒：</w:t>
      </w:r>
    </w:p>
    <w:p>
      <w:pPr>
        <w:spacing w:line="360" w:lineRule="auto" w:after="40"/>
        <w:ind w:firstLine="420"/>
      </w:pPr>
      <w:r>
        <w:t>RegTech指受监管行业利用技术履行合规义务</w:t>
      </w:r>
      <w:r>
        <w:rPr>
          <w:sz w:val="15"/>
          <w:vertAlign w:val="superscript"/>
        </w:rPr>
        <w:t>P372</w:t>
      </w:r>
      <w:r>
        <w:t>；SupTech则通常指监管机构利用技术开展监管。题干描述的是前者，因此应选择C。</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