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CH16 (EN)</w:t>
      </w:r>
    </w:p>
    <w:p>
      <w:pPr>
        <w:spacing w:line="360" w:lineRule="auto" w:after="160"/>
      </w:pPr>
      <w:r>
        <w:t>一、单项选择题</w:t>
      </w:r>
    </w:p>
    <w:p>
      <w:pPr>
        <w:spacing w:line="360" w:lineRule="auto" w:after="40"/>
      </w:pPr>
      <w:r>
        <w:t>1. Which external data source is most reliable for verifying beneficial ownership during onboarding?</w:t>
      </w:r>
    </w:p>
    <w:p>
      <w:pPr>
        <w:spacing w:line="360" w:lineRule="auto" w:after="20"/>
        <w:ind w:firstLine="283"/>
      </w:pPr>
      <w:r>
        <w:t>A. Adverse media databases</w:t>
      </w:r>
    </w:p>
    <w:p>
      <w:pPr>
        <w:spacing w:line="360" w:lineRule="auto" w:after="20"/>
        <w:ind w:firstLine="283"/>
      </w:pPr>
      <w:r>
        <w:t>B. Publicly available information on non-government data repositories</w:t>
      </w:r>
    </w:p>
    <w:p>
      <w:pPr>
        <w:spacing w:line="360" w:lineRule="auto" w:after="20"/>
        <w:ind w:firstLine="283"/>
      </w:pPr>
      <w:r>
        <w:t>C. Credit reference agencies</w:t>
      </w:r>
    </w:p>
    <w:p>
      <w:pPr>
        <w:spacing w:line="360" w:lineRule="auto" w:after="20"/>
        <w:ind w:firstLine="283"/>
      </w:pPr>
      <w:r>
        <w:t>D. Beneficial ownership registers available in the country of incorporation of the entity</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区分各外部数据源对核实受益所有权的直接性与可靠性</w:t>
      </w:r>
    </w:p>
    <w:p>
      <w:pPr>
        <w:spacing w:before="120" w:after="40"/>
      </w:pPr>
      <w:r>
        <w:rPr>
          <w:b/>
          <w:sz w:val="21"/>
          <w:shd w:fill="D6E4F0" w:val="clear"/>
        </w:rPr>
        <w:t>核心解析：</w:t>
      </w:r>
    </w:p>
    <w:p>
      <w:pPr>
        <w:spacing w:line="360" w:lineRule="auto" w:after="40"/>
        <w:ind w:firstLine="420"/>
      </w:pPr>
      <w:r>
        <w:t>核实受益所有权需要确认</w:t>
      </w:r>
      <w:r>
        <w:rPr>
          <w:b/>
        </w:rPr>
        <w:t>谁最终拥有或控制该实体</w:t>
      </w:r>
      <w:r>
        <w:t>。教材列举外部数据源时，将商业登记册和最终受益所有人数据库（Business registries, UBO databases）列为与此直接相关的数据类别</w:t>
      </w:r>
      <w:r>
        <w:rPr>
          <w:sz w:val="15"/>
          <w:vertAlign w:val="superscript"/>
        </w:rPr>
        <w:t>P467</w:t>
      </w:r>
      <w:r>
        <w:t>，并将受益所有权登记册列为可用的外部来源</w:t>
      </w:r>
      <w:r>
        <w:rPr>
          <w:sz w:val="15"/>
          <w:vertAlign w:val="superscript"/>
        </w:rPr>
        <w:t>P462</w:t>
      </w:r>
      <w:r>
        <w:t>。因此，在给定选项中，实体注册成立国可获取的</w:t>
      </w:r>
      <w:r>
        <w:rPr>
          <w:b/>
        </w:rPr>
        <w:t>受益所有权登记册</w:t>
      </w:r>
      <w:r>
        <w:t>与核实目标最直接，通常也比不良媒体、一般公开信息或信用资料更具结构化和官方属性，D项最合适。登记册信息仍可能存在过时、自报不实或覆盖不全等局限，实际尽调中仍应根据风险使用其他可靠来源进行交叉核验。</w:t>
      </w:r>
    </w:p>
    <w:p>
      <w:pPr>
        <w:spacing w:before="120" w:after="40"/>
      </w:pPr>
      <w:r>
        <w:rPr>
          <w:b/>
          <w:sz w:val="21"/>
          <w:shd w:fill="D6E4F0" w:val="clear"/>
        </w:rPr>
        <w:t>A项错误：</w:t>
      </w:r>
    </w:p>
    <w:p>
      <w:pPr>
        <w:spacing w:line="360" w:lineRule="auto" w:after="40"/>
        <w:ind w:firstLine="420"/>
      </w:pPr>
      <w:r>
        <w:t>负面媒体数据库（Adverse media databases）主要用于筛查客户是否涉及负面新闻、法律诉讼或金融犯罪调查</w:t>
      </w:r>
      <w:r>
        <w:rPr>
          <w:sz w:val="15"/>
          <w:vertAlign w:val="superscript"/>
        </w:rPr>
        <w:t>P312</w:t>
      </w:r>
      <w:r>
        <w:t>，而非直接核实受益所有权结构。其功能是发现风险信号，不提供所有权的权威证明，与题干“核实受益所有权”的直接目标匹配度不如官方登记册。</w:t>
      </w:r>
    </w:p>
    <w:p>
      <w:pPr>
        <w:spacing w:before="120" w:after="40"/>
      </w:pPr>
      <w:r>
        <w:rPr>
          <w:b/>
          <w:sz w:val="21"/>
          <w:shd w:fill="D6E4F0" w:val="clear"/>
        </w:rPr>
        <w:t>B项错误：</w:t>
      </w:r>
    </w:p>
    <w:p>
      <w:pPr>
        <w:spacing w:line="360" w:lineRule="auto" w:after="40"/>
        <w:ind w:firstLine="420"/>
      </w:pPr>
      <w:r>
        <w:t>非政府数据存储库（Non-government data repositories）中的公开信息虽属于外部数据，但来源非官方，信息准确性和完整性缺乏政府背书。教材将“公开可用信息”列为外部数据的泛称</w:t>
      </w:r>
      <w:r>
        <w:rPr>
          <w:sz w:val="15"/>
          <w:vertAlign w:val="superscript"/>
        </w:rPr>
        <w:t>P466</w:t>
      </w:r>
      <w:r>
        <w:t>，但核实受益所有权需要的是精准的官方记录，泛化的公开信息不如专门登记册可靠。</w:t>
      </w:r>
    </w:p>
    <w:p>
      <w:pPr>
        <w:spacing w:before="120" w:after="40"/>
      </w:pPr>
      <w:r>
        <w:rPr>
          <w:b/>
          <w:sz w:val="21"/>
          <w:shd w:fill="D6E4F0" w:val="clear"/>
        </w:rPr>
        <w:t>C项错误：</w:t>
      </w:r>
    </w:p>
    <w:p>
      <w:pPr>
        <w:spacing w:line="360" w:lineRule="auto" w:after="40"/>
        <w:ind w:firstLine="420"/>
      </w:pPr>
      <w:r>
        <w:t>信用咨询机构（Credit reference agencies）在教材中与信贷决策相关，其职责是评估客户信用状况、收集信用数据</w:t>
      </w:r>
      <w:r>
        <w:rPr>
          <w:sz w:val="15"/>
          <w:vertAlign w:val="superscript"/>
        </w:rPr>
        <w:t>P263</w:t>
      </w:r>
      <w:r>
        <w:t>，不涉及受益所有权信息的维护或核实。题干场景与信用评估无关，缺失受益所有权这一核心要素。</w:t>
      </w:r>
    </w:p>
    <w:p>
      <w:pPr>
        <w:spacing w:before="120" w:after="40"/>
      </w:pPr>
      <w:r>
        <w:rPr>
          <w:b/>
          <w:sz w:val="21"/>
          <w:shd w:fill="D6E4F0" w:val="clear"/>
        </w:rPr>
        <w:t>易错提醒：</w:t>
      </w:r>
    </w:p>
    <w:p>
      <w:pPr>
        <w:spacing w:line="360" w:lineRule="auto" w:after="40"/>
        <w:ind w:firstLine="420"/>
      </w:pPr>
      <w:r>
        <w:t>容易混淆“负面媒体数据库”与“受益所有权登记册”的用途——负面媒体用于识别风险信号（如客户是否卷入调查），而受益所有权登记册唯一且直接地回答“谁最终拥有该实体”这一问题。核实所有权首选官方登记册，负面媒体是辅助性质的风险筛查工具。</w:t>
      </w:r>
    </w:p>
    <w:p>
      <w:pPr>
        <w:spacing w:line="360" w:lineRule="auto" w:after="120"/>
      </w:pPr>
      <w:r/>
    </w:p>
    <w:p>
      <w:pPr>
        <w:spacing w:line="360" w:lineRule="auto" w:after="40"/>
      </w:pPr>
      <w:r>
        <w:t>2. Which of the following can be considered a reliable, independent source document, data, or information?</w:t>
      </w:r>
    </w:p>
    <w:p>
      <w:pPr>
        <w:spacing w:line="360" w:lineRule="auto" w:after="20"/>
        <w:ind w:firstLine="283"/>
      </w:pPr>
      <w:r>
        <w:t>A. Information provided by a prospective customer</w:t>
      </w:r>
    </w:p>
    <w:p>
      <w:pPr>
        <w:spacing w:line="360" w:lineRule="auto" w:after="20"/>
        <w:ind w:firstLine="283"/>
      </w:pPr>
      <w:r>
        <w:t>B. A photocopy of a copy of a government-issued identity document</w:t>
      </w:r>
    </w:p>
    <w:p>
      <w:pPr>
        <w:spacing w:line="360" w:lineRule="auto" w:after="20"/>
        <w:ind w:firstLine="283"/>
      </w:pPr>
      <w:r>
        <w:t>C. Information obtained from an open-source database</w:t>
      </w:r>
    </w:p>
    <w:p>
      <w:pPr>
        <w:spacing w:line="360" w:lineRule="auto" w:after="20"/>
        <w:ind w:firstLine="283"/>
      </w:pPr>
      <w:r>
        <w:t>D. Information obtained directly from a government-managed registry</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区分可靠独立的原始信息来源与待验证或间接来源</w:t>
      </w:r>
    </w:p>
    <w:p>
      <w:pPr>
        <w:spacing w:before="120" w:after="40"/>
      </w:pPr>
      <w:r>
        <w:rPr>
          <w:b/>
          <w:sz w:val="21"/>
          <w:shd w:fill="D6E4F0" w:val="clear"/>
        </w:rPr>
        <w:t>核心解析：</w:t>
      </w:r>
    </w:p>
    <w:p>
      <w:pPr>
        <w:spacing w:line="360" w:lineRule="auto" w:after="40"/>
        <w:ind w:firstLine="420"/>
      </w:pPr>
      <w:r>
        <w:t>教材指出第三方可提供外部数据，例如来自政府机构的情报或来自注册机构（registries）的身份详情</w:t>
      </w:r>
      <w:r>
        <w:rPr>
          <w:sz w:val="15"/>
          <w:vertAlign w:val="superscript"/>
        </w:rPr>
        <w:t>P472</w:t>
      </w:r>
      <w:r>
        <w:t>，组织也可导入商业注册信息以改进KYC流程</w:t>
      </w:r>
      <w:r>
        <w:rPr>
          <w:sz w:val="15"/>
          <w:vertAlign w:val="superscript"/>
        </w:rPr>
        <w:t>P472</w:t>
      </w:r>
      <w:r>
        <w:t>。题干要求识别</w:t>
      </w:r>
      <w:r>
        <w:rPr>
          <w:b/>
        </w:rPr>
        <w:t>可靠、独立的原始文件、数据或信息</w:t>
      </w:r>
      <w:r>
        <w:t>；在给定选项中，直接从政府管理的登记处获取的信息来源明确、传递环节较少，并具有官方记录属性，因此D最符合。官方来源也可能存在信息过时、登记错误或覆盖不全等情况，仍应根据风险核实数据是否最新、完整并与客户情况一致。</w:t>
      </w:r>
    </w:p>
    <w:p>
      <w:pPr>
        <w:spacing w:before="120" w:after="40"/>
      </w:pPr>
      <w:r>
        <w:rPr>
          <w:b/>
          <w:sz w:val="21"/>
          <w:shd w:fill="D6E4F0" w:val="clear"/>
        </w:rPr>
        <w:t>教材原句：</w:t>
      </w:r>
    </w:p>
    <w:p>
      <w:pPr>
        <w:spacing w:line="360" w:lineRule="auto" w:after="40"/>
        <w:ind w:firstLine="420"/>
      </w:pPr>
      <w:r>
        <w:t>"Third parties can also provide external data, such as lists for screening purposes, intelligence from government agencies, or identification details from registries."</w:t>
      </w:r>
    </w:p>
    <w:p>
      <w:pPr>
        <w:spacing w:before="120" w:after="40"/>
      </w:pPr>
      <w:r>
        <w:rPr>
          <w:b/>
          <w:sz w:val="21"/>
          <w:shd w:fill="D6E4F0" w:val="clear"/>
        </w:rPr>
        <w:t>A项错误：</w:t>
      </w:r>
    </w:p>
    <w:p>
      <w:pPr>
        <w:spacing w:line="360" w:lineRule="auto" w:after="40"/>
        <w:ind w:firstLine="420"/>
      </w:pPr>
      <w:r>
        <w:t>潜在客户提供的信息属于内部静态数据</w:t>
      </w:r>
      <w:r>
        <w:rPr>
          <w:sz w:val="15"/>
          <w:vertAlign w:val="superscript"/>
        </w:rPr>
        <w:t>P467</w:t>
      </w:r>
      <w:r>
        <w:t>，由客户自行提交，并非独立来源，必须经过核实后才能使用。相比直接从政府登记处获取的官方信息，客户自述不具有同等级的客观可靠性。</w:t>
      </w:r>
    </w:p>
    <w:p>
      <w:pPr>
        <w:spacing w:before="120" w:after="40"/>
      </w:pPr>
      <w:r>
        <w:rPr>
          <w:b/>
          <w:sz w:val="21"/>
          <w:shd w:fill="D6E4F0" w:val="clear"/>
        </w:rPr>
        <w:t>B项错误：</w:t>
      </w:r>
    </w:p>
    <w:p>
      <w:pPr>
        <w:spacing w:line="360" w:lineRule="auto" w:after="40"/>
        <w:ind w:firstLine="420"/>
      </w:pPr>
      <w:r>
        <w:t>政府颁发的身份证明文件经过多次复制，存在失真或难以验证完整性的风险，也不属于直接取得的原始资料。相比之下，直接从政府登记处获取的信息传递环节更少，更符合题干条件。</w:t>
      </w:r>
    </w:p>
    <w:p>
      <w:pPr>
        <w:spacing w:before="120" w:after="40"/>
      </w:pPr>
      <w:r>
        <w:rPr>
          <w:b/>
          <w:sz w:val="21"/>
          <w:shd w:fill="D6E4F0" w:val="clear"/>
        </w:rPr>
        <w:t>C项错误：</w:t>
      </w:r>
    </w:p>
    <w:p>
      <w:pPr>
        <w:spacing w:line="360" w:lineRule="auto" w:after="40"/>
        <w:ind w:firstLine="420"/>
      </w:pPr>
      <w:r>
        <w:t>开源数据库中的信息来源和维护标准可能不同，分析师在依赖前应确认其来源可靠性</w:t>
      </w:r>
      <w:r>
        <w:rPr>
          <w:sz w:val="15"/>
          <w:vertAlign w:val="superscript"/>
        </w:rPr>
        <w:t>P399</w:t>
      </w:r>
      <w:r>
        <w:t>。D项直接来自政府管理的登记处，在本题比较中更符合可靠、独立和来源直接的要求。</w:t>
      </w:r>
    </w:p>
    <w:p>
      <w:pPr>
        <w:spacing w:before="120" w:after="40"/>
      </w:pPr>
      <w:r>
        <w:rPr>
          <w:b/>
          <w:sz w:val="21"/>
          <w:shd w:fill="D6E4F0" w:val="clear"/>
        </w:rPr>
        <w:t>易错提醒：</w:t>
      </w:r>
    </w:p>
    <w:p>
      <w:pPr>
        <w:spacing w:line="360" w:lineRule="auto" w:after="40"/>
        <w:ind w:firstLine="420"/>
      </w:pPr>
      <w:r>
        <w:t>政府登记处通常比一般开源数据库更具官方性和可追溯性，但“官方来源”不等于内容永远准确。实际尽调中仍要检查信息的时效性、完整性，并在风险较高时进行交叉核验。</w:t>
      </w:r>
    </w:p>
    <w:p>
      <w:pPr>
        <w:spacing w:line="360" w:lineRule="auto" w:after="120"/>
      </w:pPr>
      <w:r/>
    </w:p>
    <w:p>
      <w:pPr>
        <w:spacing w:line="360" w:lineRule="auto" w:after="40"/>
      </w:pPr>
      <w:r>
        <w:t>3. Which types of external data sources are expected to be used for screening customers as part of customer due diligence (CDD)? (Select Three.)</w:t>
      </w:r>
    </w:p>
    <w:p>
      <w:pPr>
        <w:spacing w:line="360" w:lineRule="auto" w:after="20"/>
        <w:ind w:firstLine="283"/>
      </w:pPr>
      <w:r>
        <w:t>A. Customer feedback and online review platforms</w:t>
      </w:r>
    </w:p>
    <w:p>
      <w:pPr>
        <w:spacing w:line="360" w:lineRule="auto" w:after="20"/>
        <w:ind w:firstLine="283"/>
      </w:pPr>
      <w:r>
        <w:t>B. Social media sources to assess lifestyle and spending patterns</w:t>
      </w:r>
    </w:p>
    <w:p>
      <w:pPr>
        <w:spacing w:line="360" w:lineRule="auto" w:after="20"/>
        <w:ind w:firstLine="283"/>
      </w:pPr>
      <w:r>
        <w:t>C. Sanctions lists, including those issued by the Office of Foreign Assets Control (OFAC)</w:t>
      </w:r>
    </w:p>
    <w:p>
      <w:pPr>
        <w:spacing w:line="360" w:lineRule="auto" w:after="20"/>
        <w:ind w:firstLine="283"/>
      </w:pPr>
      <w:r>
        <w:t>D. Registers of stolen or forged documents (where available)</w:t>
      </w:r>
    </w:p>
    <w:p>
      <w:pPr>
        <w:spacing w:line="360" w:lineRule="auto" w:after="20"/>
        <w:ind w:firstLine="283"/>
      </w:pPr>
      <w:r>
        <w:t>E. Beneficial ownership registers and adverse media sources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识别CDD中预期使用的三类外部数据源</w:t>
      </w:r>
    </w:p>
    <w:p>
      <w:pPr>
        <w:spacing w:before="120" w:after="40"/>
      </w:pPr>
      <w:r>
        <w:rPr>
          <w:b/>
          <w:sz w:val="21"/>
          <w:shd w:fill="D6E4F0" w:val="clear"/>
        </w:rPr>
        <w:t>核心解析：</w:t>
      </w:r>
    </w:p>
    <w:p>
      <w:pPr>
        <w:spacing w:line="360" w:lineRule="auto" w:after="40"/>
        <w:ind w:firstLine="420"/>
      </w:pPr>
      <w:r>
        <w:t>教材将外部数据源划分为两个功能类别：第一类是“针对特定客户的数据”，具体包括负面媒体报告、法院裁决、商业登记、UBO数据库等，用于完成适当的尽职调查</w:t>
      </w:r>
      <w:r>
        <w:rPr>
          <w:sz w:val="15"/>
          <w:vertAlign w:val="superscript"/>
        </w:rPr>
        <w:t>P467</w:t>
      </w:r>
      <w:r>
        <w:t>；第二类是“组织对所有客户进行筛查的数据”，具体包括制裁和禁运名单、恐怖分子及主要犯罪集团名单、政治公众人物名单</w:t>
      </w:r>
      <w:r>
        <w:rPr>
          <w:sz w:val="15"/>
          <w:vertAlign w:val="superscript"/>
        </w:rPr>
        <w:t>P472</w:t>
      </w:r>
      <w:r>
        <w:t>。题干询问“在CDD中筛查客户”预期使用哪些类型的外部数据源，这一表述同时覆盖了上述两类功能。选项C（OFAC等</w:t>
      </w:r>
      <w:r>
        <w:rPr>
          <w:b/>
        </w:rPr>
        <w:t>制裁名单</w:t>
      </w:r>
      <w:r>
        <w:t>）直接对应第二类中制裁和禁运名单，制裁筛查会在客户准入前将客户信息与联合国、欧盟、OFAC及国家制裁名单交叉核对；选项D（被盗或伪造文件登记册）对应外部数据来源中第三方可提供的注册信息，且该登记册本身就是识别身份文件真伪的核查工具，属于CDD中核实客户身份信息的环节；选项E（受益所有权登记册和负面媒体来源）则直接对应第一类特定客户数据中的UBO数据库和负面媒体报告。三个正确选项分别落在上述两种外部数据类型之中，且均与CDD的筛查目的直接吻合。</w:t>
      </w:r>
    </w:p>
    <w:p>
      <w:pPr>
        <w:spacing w:before="120" w:after="40"/>
      </w:pPr>
      <w:r>
        <w:rPr>
          <w:b/>
          <w:sz w:val="21"/>
          <w:shd w:fill="D6E4F0" w:val="clear"/>
        </w:rPr>
        <w:t>教材原句：</w:t>
      </w:r>
    </w:p>
    <w:p>
      <w:pPr>
        <w:spacing w:line="360" w:lineRule="auto" w:after="40"/>
        <w:ind w:firstLine="420"/>
      </w:pPr>
      <w:r>
        <w:t>"The first type is data specific to a particular customer. This includes adverse media reports, court rulings, business registries, UBO databases, voter registers, and other publicly available sources."</w:t>
      </w:r>
      <w:r>
        <w:rPr>
          <w:sz w:val="15"/>
          <w:vertAlign w:val="superscript"/>
        </w:rPr>
        <w:t>P467</w:t>
      </w:r>
    </w:p>
    <w:p>
      <w:pPr>
        <w:spacing w:before="120" w:after="40"/>
      </w:pPr>
      <w:r>
        <w:rPr>
          <w:b/>
          <w:sz w:val="21"/>
          <w:shd w:fill="D6E4F0" w:val="clear"/>
        </w:rPr>
        <w:t>A项错误：</w:t>
      </w:r>
    </w:p>
    <w:p>
      <w:pPr>
        <w:spacing w:line="360" w:lineRule="auto" w:after="40"/>
        <w:ind w:firstLine="420"/>
      </w:pPr>
      <w:r>
        <w:t>客户反馈和在线评价平台主要反映商业体验与一般声誉，与金融犯罪风险筛查的目的不直接匹配。CDD筛查更侧重制裁、身份、受益所有权和负面媒体等信息。</w:t>
      </w:r>
    </w:p>
    <w:p>
      <w:pPr>
        <w:spacing w:before="120" w:after="40"/>
      </w:pPr>
      <w:r>
        <w:rPr>
          <w:b/>
          <w:sz w:val="21"/>
          <w:shd w:fill="D6E4F0" w:val="clear"/>
        </w:rPr>
        <w:t>B项错误：</w:t>
      </w:r>
    </w:p>
    <w:p>
      <w:pPr>
        <w:spacing w:line="360" w:lineRule="auto" w:after="40"/>
        <w:ind w:firstLine="420"/>
      </w:pPr>
      <w:r>
        <w:t>教材指出，未经验证的社交媒体帖子和低质量博客应谨慎评估。社交媒体可作为调查阶段的开源研究渠道，但不如制裁名单、UBO数据库和负面媒体来源适合作为CDD中的常规筛查数据。</w:t>
      </w:r>
    </w:p>
    <w:p>
      <w:pPr>
        <w:spacing w:before="120" w:after="40"/>
      </w:pPr>
      <w:r>
        <w:rPr>
          <w:b/>
          <w:sz w:val="21"/>
          <w:shd w:fill="D6E4F0" w:val="clear"/>
        </w:rPr>
        <w:t>易错提醒：</w:t>
      </w:r>
    </w:p>
    <w:p>
      <w:pPr>
        <w:spacing w:line="360" w:lineRule="auto" w:after="40"/>
        <w:ind w:firstLine="420"/>
      </w:pPr>
      <w:r>
        <w:t>社交媒体可用于开源研究</w:t>
      </w:r>
      <w:r>
        <w:rPr>
          <w:sz w:val="15"/>
          <w:vertAlign w:val="superscript"/>
        </w:rPr>
        <w:t>P334</w:t>
      </w:r>
      <w:r>
        <w:t>，但其信息需要核验，不能与制裁名单、受益所有权登记册等结构化筛查数据等同</w:t>
      </w:r>
      <w:r>
        <w:rPr>
          <w:sz w:val="15"/>
          <w:vertAlign w:val="superscript"/>
        </w:rPr>
        <w:t>P467、P472</w:t>
      </w:r>
      <w:r>
        <w:t>。负面媒体也应关注来源质量，不能仅凭未经证实的帖子作出结论。</w:t>
      </w:r>
    </w:p>
    <w:p>
      <w:pPr>
        <w:spacing w:line="360" w:lineRule="auto" w:after="120"/>
      </w:pPr>
      <w:r/>
    </w:p>
    <w:p>
      <w:pPr>
        <w:spacing w:line="360" w:lineRule="auto" w:after="40"/>
      </w:pPr>
      <w:r>
        <w:t>4. Reference data screening includes the screening of which types of datasets? (Select Two.)</w:t>
      </w:r>
    </w:p>
    <w:p>
      <w:pPr>
        <w:spacing w:line="360" w:lineRule="auto" w:after="20"/>
        <w:ind w:firstLine="283"/>
      </w:pPr>
      <w:r>
        <w:t>A. Types of payment messages</w:t>
      </w:r>
    </w:p>
    <w:p>
      <w:pPr>
        <w:spacing w:line="360" w:lineRule="auto" w:after="20"/>
        <w:ind w:firstLine="283"/>
      </w:pPr>
      <w:r>
        <w:t>B. Customers</w:t>
      </w:r>
    </w:p>
    <w:p>
      <w:pPr>
        <w:spacing w:line="360" w:lineRule="auto" w:after="20"/>
        <w:ind w:firstLine="283"/>
      </w:pPr>
      <w:r>
        <w:t>C. Third-party service providers</w:t>
      </w:r>
    </w:p>
    <w:p>
      <w:pPr>
        <w:spacing w:line="360" w:lineRule="auto" w:after="20"/>
        <w:ind w:firstLine="283"/>
      </w:pPr>
      <w:r>
        <w:t>D. Customer spouses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w:t>
      </w:r>
      <w:r>
        <w:rPr>
          <w:b/>
        </w:rPr>
        <w:t>参考数据筛查的对象（客户/第三方）</w:t>
      </w:r>
      <w:r>
        <w:t>与</w:t>
      </w:r>
      <w:r>
        <w:rPr>
          <w:b/>
        </w:rPr>
        <w:t>支付筛查对象（支付消息）</w:t>
      </w:r>
    </w:p>
    <w:p>
      <w:pPr>
        <w:spacing w:before="120" w:after="40"/>
      </w:pPr>
      <w:r>
        <w:rPr>
          <w:b/>
          <w:sz w:val="21"/>
          <w:shd w:fill="D6E4F0" w:val="clear"/>
        </w:rPr>
        <w:t>核心解析：</w:t>
      </w:r>
    </w:p>
    <w:p>
      <w:pPr>
        <w:spacing w:line="360" w:lineRule="auto" w:after="40"/>
        <w:ind w:firstLine="420"/>
      </w:pPr>
      <w:r>
        <w:t>参考数据筛查（reference data screening）的核心是把</w:t>
      </w:r>
      <w:r>
        <w:rPr>
          <w:b/>
        </w:rPr>
        <w:t>静态的主体信息与外部名单做匹配</w:t>
      </w:r>
      <w:r>
        <w:t>，判断主体本身是否命中风险名单。教材明确指出，筛查系统需要“静态客户KYC详细信息”（static customer KYC details）与外部名单数据相结合</w:t>
      </w:r>
      <w:r>
        <w:rPr>
          <w:sz w:val="15"/>
          <w:vertAlign w:val="superscript"/>
        </w:rPr>
        <w:t>P467</w:t>
      </w:r>
      <w:r>
        <w:t>，同时第三方可以提供用于筛查目的的外部数据</w:t>
      </w:r>
      <w:r>
        <w:rPr>
          <w:sz w:val="15"/>
          <w:vertAlign w:val="superscript"/>
        </w:rPr>
        <w:t>P472</w:t>
      </w:r>
      <w:r>
        <w:t>，而数据提取本身就是从客户数据库和第三方提供商等来源收集数据的过程</w:t>
      </w:r>
      <w:r>
        <w:rPr>
          <w:sz w:val="15"/>
          <w:vertAlign w:val="superscript"/>
        </w:rPr>
        <w:t>P476</w:t>
      </w:r>
      <w:r>
        <w:t>。可见，“客户”是筛查的第一类主体数据，“第三方服务提供商”既是筛查数据的来源，也是需要被筛查的关联主体。支付消息的类型是交易筛查（transaction/payment screening）的范畴，它筛查的是消息内容而不是数据主体；客户配偶只是客户附属信息中的一类，教材从未将其作为独立的筛查数据库类型，且其数据一般已涵盖在客户的KYC信息中，不具备单独的筛查维度。因此，B“客户”、C“第三方服务提供商”直接命中参考数据筛查的两类核心数据集，匹配度最高，而A、D均不构成教材所定义的独立筛查数据库类型。</w:t>
      </w:r>
    </w:p>
    <w:p>
      <w:pPr>
        <w:spacing w:before="120" w:after="40"/>
      </w:pPr>
      <w:r>
        <w:rPr>
          <w:b/>
          <w:sz w:val="21"/>
          <w:shd w:fill="D6E4F0" w:val="clear"/>
        </w:rPr>
        <w:t>教材原句：</w:t>
      </w:r>
    </w:p>
    <w:p>
      <w:pPr>
        <w:spacing w:line="360" w:lineRule="auto" w:after="40"/>
        <w:ind w:firstLine="420"/>
      </w:pPr>
      <w:r>
        <w:t>"Another example is screening systems, as they require a combination of static customer KYC details and external data from list providers and other agencies."</w:t>
      </w:r>
    </w:p>
    <w:p>
      <w:pPr>
        <w:spacing w:before="120" w:after="40"/>
      </w:pPr>
      <w:r>
        <w:rPr>
          <w:b/>
          <w:sz w:val="21"/>
          <w:shd w:fill="D6E4F0" w:val="clear"/>
        </w:rPr>
        <w:t>A项错误：</w:t>
      </w:r>
    </w:p>
    <w:p>
      <w:pPr>
        <w:spacing w:line="360" w:lineRule="auto" w:after="40"/>
        <w:ind w:firstLine="420"/>
      </w:pPr>
      <w:r>
        <w:t>教材在支付筛查部分主要论述的是对“交易”（transactions）本身的实时验证，使用的是结构化消息格式（如XML）来实现支付筛查</w:t>
      </w:r>
      <w:r>
        <w:rPr>
          <w:sz w:val="15"/>
          <w:vertAlign w:val="superscript"/>
        </w:rPr>
        <w:t>P433</w:t>
      </w:r>
      <w:r>
        <w:t>。支付筛查的对象是支付消息中的交易要素（如交易对手名称是否命中制裁名单），它属于交易监测领域的范畴，而题干问的是参考数据筛查所针对的数据库类型。支付消息是筛查的对象，但不是被筛查的数据库类型，因此与题干的匹配度明显弱于客户和第三方服务提供商。</w:t>
      </w:r>
    </w:p>
    <w:p>
      <w:pPr>
        <w:spacing w:before="120" w:after="40"/>
      </w:pPr>
      <w:r>
        <w:rPr>
          <w:b/>
          <w:sz w:val="21"/>
          <w:shd w:fill="D6E4F0" w:val="clear"/>
        </w:rPr>
        <w:t>D项错误：</w:t>
      </w:r>
    </w:p>
    <w:p>
      <w:pPr>
        <w:spacing w:line="360" w:lineRule="auto" w:after="40"/>
        <w:ind w:firstLine="420"/>
      </w:pPr>
      <w:r>
        <w:t>教材中对静态数据的列举包括姓名、地址、出生日期、董事、签字人、受益所有人等KYC信息</w:t>
      </w:r>
      <w:r>
        <w:rPr>
          <w:sz w:val="15"/>
          <w:vertAlign w:val="superscript"/>
        </w:rPr>
        <w:t>P467</w:t>
      </w:r>
      <w:r>
        <w:t>，但并未单独将“客户配偶”作为一个独立的筛查数据库类型。配偶信息一般作为客户关联方在尽职调查中被关注，但其本身不属于参考数据筛查系统所定义的独立数据集（如客户数据库、外部名单数据库等）。题干更直接指向教材明确列出的筛查对象“客户”和“第三方服务提供商”，而不是泛化的家属关系。</w:t>
      </w:r>
    </w:p>
    <w:p>
      <w:pPr>
        <w:spacing w:before="120" w:after="40"/>
      </w:pPr>
      <w:r>
        <w:rPr>
          <w:b/>
          <w:sz w:val="21"/>
          <w:shd w:fill="D6E4F0" w:val="clear"/>
        </w:rPr>
        <w:t>易错提醒：</w:t>
      </w:r>
    </w:p>
    <w:p>
      <w:pPr>
        <w:spacing w:line="360" w:lineRule="auto" w:after="40"/>
        <w:ind w:firstLine="420"/>
      </w:pPr>
      <w:r>
        <w:t>容易把支付筛查（payment screening）混同于参考数据筛查（reference data screening）。两者的根本区别在于：支付筛查针对的是</w:t>
      </w:r>
      <w:r>
        <w:rPr>
          <w:b/>
        </w:rPr>
        <w:t>交易消息的内容</w:t>
      </w:r>
      <w:r>
        <w:t>（有没有命中制裁名单中的名称），是交易层面的实时验证（P317, P433）；而参考数据筛查针对的是</w:t>
      </w:r>
      <w:r>
        <w:rPr>
          <w:b/>
        </w:rPr>
        <w:t>数据主体（客户/第三方）本身</w:t>
      </w:r>
      <w:r>
        <w:t>是否在外部风险名单中，是主体层面的名单匹配</w:t>
      </w:r>
      <w:r>
        <w:rPr>
          <w:sz w:val="15"/>
          <w:vertAlign w:val="superscript"/>
        </w:rPr>
        <w:t>P467</w:t>
      </w:r>
      <w:r>
        <w:t>。前者查“这笔钱能不能走”，后者查“这个人/机构能不能留存”。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