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CH01</w:t>
      </w:r>
    </w:p>
    <w:p>
      <w:pPr>
        <w:spacing w:line="360" w:lineRule="auto" w:after="160"/>
      </w:pPr>
      <w:r>
        <w:t>一、单项选择题</w:t>
      </w:r>
    </w:p>
    <w:p>
      <w:pPr>
        <w:spacing w:line="360" w:lineRule="auto" w:after="40"/>
      </w:pPr>
      <w:r>
        <w:t>1. 以下哪项是表明可能通过贵金属或高价值物品经销商进行洗钱或恐怖融资的危险信号？</w:t>
      </w:r>
    </w:p>
    <w:p>
      <w:pPr>
        <w:spacing w:line="360" w:lineRule="auto" w:after="20"/>
      </w:pPr>
      <w:r>
        <w:t>A.一位客户想用现金和加密货币的组合来购买金条</w:t>
      </w:r>
    </w:p>
    <w:p>
      <w:pPr>
        <w:spacing w:line="360" w:lineRule="auto" w:after="20"/>
      </w:pPr>
      <w:r>
        <w:t>B.一位顾客明确要求购买经过金伯利进程认证的切割钻石</w:t>
      </w:r>
    </w:p>
    <w:p>
      <w:pPr>
        <w:spacing w:line="360" w:lineRule="auto" w:after="20"/>
      </w:pPr>
      <w:r>
        <w:t>C.一位顾客使用信用卡向古董商购买一件高价值古董</w:t>
      </w:r>
    </w:p>
    <w:p>
      <w:pPr>
        <w:spacing w:line="360" w:lineRule="auto" w:after="20"/>
      </w:pPr>
      <w:r>
        <w:t>D.一位顾客通过本人名下银行账户转账购买一款高端限量版豪华手表，并要求开具正式发票</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识别复杂支付方式与高价值商品相结合形成的洗钱风险链条</w:t>
      </w:r>
    </w:p>
    <w:p>
      <w:pPr>
        <w:spacing w:line="360" w:lineRule="auto" w:after="40"/>
      </w:pPr>
      <w:r>
        <w:rPr>
          <w:b/>
          <w:shd w:fill="D6E4F0" w:val="clear"/>
        </w:rPr>
        <w:t>核心解析：</w:t>
      </w:r>
    </w:p>
    <w:p>
      <w:pPr>
        <w:spacing w:line="360" w:lineRule="auto" w:after="40"/>
      </w:pPr>
      <w:r>
        <w:t>选项A集中体现了教材所描述的多项洗钱风险因素。教材指出，应关注偏离预期交易模式或使用复杂支付结构的交易</w:t>
      </w:r>
      <w:r>
        <w:rPr>
          <w:sz w:val="15"/>
          <w:vertAlign w:val="superscript"/>
        </w:rPr>
        <w:t>P307</w:t>
      </w:r>
      <w:r>
        <w:t>；加密资产虽然记录在区块链上，但其所有权可能难以识别和追踪</w:t>
      </w:r>
      <w:r>
        <w:rPr>
          <w:sz w:val="15"/>
          <w:vertAlign w:val="superscript"/>
        </w:rPr>
        <w:t>P111</w:t>
      </w:r>
      <w:r>
        <w:t>。同时，犯罪分子可能使用非法资金购买、转售或走私高价值商品以规避审查，黄金被明确列为可以匿名转移价值的高价值商品</w:t>
      </w:r>
      <w:r>
        <w:rPr>
          <w:sz w:val="15"/>
          <w:vertAlign w:val="superscript"/>
        </w:rPr>
        <w:t>P18</w:t>
      </w:r>
      <w:r>
        <w:t>。贵金属和宝石经销商也因商品便携、易变现和易跨境而面临较高风险，犯罪分子可能通过高价值购买和转售掩盖非法资金</w:t>
      </w:r>
      <w:r>
        <w:rPr>
          <w:sz w:val="15"/>
          <w:vertAlign w:val="superscript"/>
        </w:rPr>
        <w:t>P119</w:t>
      </w:r>
      <w:r>
        <w:t>。因此，</w:t>
      </w:r>
      <w:r>
        <w:rPr>
          <w:b/>
        </w:rPr>
        <w:t>以现金和加密货币混合购买金条</w:t>
      </w:r>
      <w:r>
        <w:t>，会将较复杂的支付结构与便携、易变现且易转售的高价值资产结合起来，增加资金归属核实和价值流向追踪的难度，构成值得进一步核查的红旗信号。红旗并不等于已经证明洗钱，而是意味着经销商应进一步核实客户身份、资金来源和交易目的。</w:t>
      </w:r>
    </w:p>
    <w:p>
      <w:pPr>
        <w:spacing w:line="360" w:lineRule="auto" w:after="40"/>
      </w:pPr>
      <w:r>
        <w:rPr>
          <w:b/>
          <w:shd w:fill="D6E4F0" w:val="clear"/>
        </w:rPr>
        <w:t>教材原句：</w:t>
      </w:r>
    </w:p>
    <w:p>
      <w:pPr>
        <w:spacing w:line="360" w:lineRule="auto" w:after="40"/>
      </w:pPr>
      <w:r>
        <w:t>"Criminals use high-value commodities such as gold, diamonds, luxury watches, and fine art to transfer value anonymously."</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客户要求购买经金伯利进程认证的钻石，本身没有表现出匿名交易、复杂支付、来源异常或规避审查等可疑特征。认证不能当然证明整个交易不存在洗钱风险，但“要求认证”本身不构成本题所问的红旗信号。</w:t>
      </w:r>
    </w:p>
    <w:p>
      <w:pPr>
        <w:spacing w:line="360" w:lineRule="auto" w:after="40"/>
      </w:pPr>
      <w:r>
        <w:rPr>
          <w:b/>
          <w:shd w:fill="D6E4F0" w:val="clear"/>
        </w:rPr>
        <w:t>C项错误：</w:t>
      </w:r>
    </w:p>
    <w:p>
      <w:pPr>
        <w:spacing w:line="360" w:lineRule="auto" w:after="40"/>
      </w:pPr>
      <w:r>
        <w:t>教材指出，信用卡可用于洗钱的离析和融合阶段，使用信用卡购买高价值或奢侈品时仍需保持警惕</w:t>
      </w:r>
      <w:r>
        <w:rPr>
          <w:sz w:val="15"/>
          <w:vertAlign w:val="superscript"/>
        </w:rPr>
        <w:t>P69</w:t>
      </w:r>
      <w:r>
        <w:t>。因此C并非完全没有风险。不过，题干只描述了一次信用卡购买，没有出现超额还款、快速还款、第三方付款或其他异常交易模式。相比之下，A同时叠加了混合支付、加密资产和可以匿名转移价值的黄金，红旗特征更集中。</w:t>
      </w:r>
    </w:p>
    <w:p>
      <w:pPr>
        <w:spacing w:line="360" w:lineRule="auto" w:after="40"/>
      </w:pPr>
      <w:r>
        <w:rPr>
          <w:b/>
          <w:shd w:fill="D6E4F0" w:val="clear"/>
        </w:rPr>
        <w:t>D项错误：</w:t>
      </w:r>
    </w:p>
    <w:p>
      <w:pPr>
        <w:spacing w:line="360" w:lineRule="auto" w:after="40"/>
      </w:pPr>
      <w:r>
        <w:t>豪华手表属于高价值资产，交易中仍应做适当尽调；但D使用本人账户银行转账并要求正式发票，未出现现金来源不明、证明文件不足、匿名支付或复杂支付结构等红旗要素</w:t>
      </w:r>
      <w:r>
        <w:rPr>
          <w:sz w:val="15"/>
          <w:vertAlign w:val="superscript"/>
        </w:rPr>
        <w:t>P128</w:t>
      </w:r>
      <w:r>
        <w:t>。与A相比，D更像正常留痕交易。</w:t>
      </w:r>
    </w:p>
    <w:p>
      <w:pPr>
        <w:spacing w:line="360" w:lineRule="auto" w:after="40"/>
      </w:pPr>
      <w:r>
        <w:rPr>
          <w:b/>
          <w:shd w:fill="D6E4F0" w:val="clear"/>
        </w:rPr>
        <w:t>易错提醒：</w:t>
      </w:r>
    </w:p>
    <w:p>
      <w:pPr>
        <w:spacing w:line="360" w:lineRule="auto" w:after="40"/>
      </w:pPr>
      <w:r>
        <w:t>判断红旗不能只看到“贵金属”“加密货币”或“豪华手表”等单个关键词，而应观察完整交易链条。A的关键在于混合支付结构与金条这种便携、易转售的高价值商品相结合，使资金归属核实和价值追踪更加复杂。D虽涉及高价值商品，但银行转账和正式发票会留下较清晰的交易记录，不如A体现红旗特征。</w:t>
      </w:r>
    </w:p>
    <w:p>
      <w:pPr>
        <w:spacing w:line="360" w:lineRule="auto" w:after="120"/>
      </w:pPr>
      <w:r/>
    </w:p>
    <w:p>
      <w:pPr>
        <w:spacing w:line="360" w:lineRule="auto" w:after="40"/>
      </w:pPr>
      <w:r>
        <w:t>2. 在房地产领域洗钱的置入阶段,可以采用哪种方法？</w:t>
      </w:r>
    </w:p>
    <w:p>
      <w:pPr>
        <w:spacing w:line="360" w:lineRule="auto" w:after="20"/>
      </w:pPr>
      <w:r>
        <w:t>A.通过网上银行向一家媒体公司支付用于房产营销的发票款项</w:t>
      </w:r>
    </w:p>
    <w:p>
      <w:pPr>
        <w:spacing w:line="360" w:lineRule="auto" w:after="20"/>
      </w:pPr>
      <w:r>
        <w:t>B.利用注册信托转移所有权</w:t>
      </w:r>
    </w:p>
    <w:p>
      <w:pPr>
        <w:spacing w:line="360" w:lineRule="auto" w:after="20"/>
      </w:pPr>
      <w:r>
        <w:t>C.用现金购买房产</w:t>
      </w:r>
    </w:p>
    <w:p>
      <w:pPr>
        <w:spacing w:line="360" w:lineRule="auto" w:after="20"/>
      </w:pPr>
      <w:r>
        <w:t>D.在购入房产后迅速将其重新投放市场</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根据资金进入渠道的时间节点识别房地产洗钱的置入行为</w:t>
      </w:r>
    </w:p>
    <w:p>
      <w:pPr>
        <w:spacing w:line="360" w:lineRule="auto" w:after="40"/>
      </w:pPr>
      <w:r>
        <w:rPr>
          <w:b/>
          <w:shd w:fill="D6E4F0" w:val="clear"/>
        </w:rPr>
        <w:t>核心解析：</w:t>
      </w:r>
    </w:p>
    <w:p>
      <w:pPr>
        <w:spacing w:line="360" w:lineRule="auto" w:after="40"/>
      </w:pPr>
      <w:r>
        <w:t>置入是对犯罪所得进行</w:t>
      </w:r>
      <w:r>
        <w:rPr>
          <w:b/>
        </w:rPr>
        <w:t>初始处置，使其进入金融系统</w:t>
      </w:r>
      <w:r>
        <w:rPr>
          <w:sz w:val="15"/>
          <w:vertAlign w:val="superscript"/>
        </w:rPr>
        <w:t>P16</w:t>
      </w:r>
      <w:r>
        <w:t>。教材举出的方式包括通过银行账户处理犯罪所得，以及银行存款或购买货币工具</w:t>
      </w:r>
      <w:r>
        <w:rPr>
          <w:sz w:val="15"/>
          <w:vertAlign w:val="superscript"/>
        </w:rPr>
        <w:t>P16、P53</w:t>
      </w:r>
      <w:r>
        <w:t>。判断一个行为是否属于置入，关键不是它是否使用银行，而是该行为本身是否完成了犯罪所得的</w:t>
      </w:r>
      <w:r>
        <w:rPr>
          <w:b/>
        </w:rPr>
        <w:t>首次进入</w:t>
      </w:r>
      <w:r>
        <w:t>。选项A描述的是通过网上银行支付营销发票；这项付款能够发生，通常意味着资金此前已经位于银行账户中。如果犯罪所得经过存款进入该账户，真正完成置入的是此前的存款，而不是后续付款。房地产交易中，现金比通过金融机构付款更难追踪，全部或主要使用现金购房属于洗钱红旗</w:t>
      </w:r>
      <w:r>
        <w:rPr>
          <w:sz w:val="15"/>
          <w:vertAlign w:val="superscript"/>
        </w:rPr>
        <w:t>P122</w:t>
      </w:r>
      <w:r>
        <w:t>。题干已经限定为房地产领域的置入阶段，选项C描述了直接使用现金购买房产，即将待清洗的现金首次投入房地产交易并转换为可持有、登记和转售的资产。现金购房并不必然属于置入；但在本题给出的阶段和选项中，C与置入的行为功能和时间节点最匹配。</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网上银行支付描述的是银行账户内资金的后续支付，而不是资金进入银行体系的动作。题干也没有说明该发票虚假，不能直接套用教材中“支付虚假发票”的离析示例</w:t>
      </w:r>
      <w:r>
        <w:rPr>
          <w:sz w:val="15"/>
          <w:vertAlign w:val="superscript"/>
        </w:rPr>
        <w:t>P16</w:t>
      </w:r>
      <w:r>
        <w:t>。即使犯罪现金此前被存入账户，置入行为也是存款</w:t>
      </w:r>
      <w:r>
        <w:rPr>
          <w:sz w:val="15"/>
          <w:vertAlign w:val="superscript"/>
        </w:rPr>
        <w:t>P16、P53</w:t>
      </w:r>
      <w:r>
        <w:t>，而不是付款。</w:t>
      </w:r>
    </w:p>
    <w:p>
      <w:pPr>
        <w:spacing w:line="360" w:lineRule="auto" w:after="40"/>
      </w:pPr>
      <w:r>
        <w:rPr>
          <w:b/>
          <w:shd w:fill="D6E4F0" w:val="clear"/>
        </w:rPr>
        <w:t>B项错误：</w:t>
      </w:r>
    </w:p>
    <w:p>
      <w:pPr>
        <w:spacing w:line="360" w:lineRule="auto" w:after="40"/>
      </w:pPr>
      <w:r>
        <w:t>信托是分离资产法定所有权与控制权的法律安排</w:t>
      </w:r>
      <w:r>
        <w:rPr>
          <w:sz w:val="15"/>
          <w:vertAlign w:val="superscript"/>
        </w:rPr>
        <w:t>P73</w:t>
      </w:r>
      <w:r>
        <w:t>。利用信托转移所有权的前提是相关房产或资产已经取得，重点在于改变产权关系，发生在初始购房之后，与置入阶段的时间节点相比匹配度较低。</w:t>
      </w:r>
    </w:p>
    <w:p>
      <w:pPr>
        <w:spacing w:line="360" w:lineRule="auto" w:after="40"/>
      </w:pPr>
      <w:r>
        <w:rPr>
          <w:b/>
          <w:shd w:fill="D6E4F0" w:val="clear"/>
        </w:rPr>
        <w:t>D项错误：</w:t>
      </w:r>
    </w:p>
    <w:p>
      <w:pPr>
        <w:spacing w:line="360" w:lineRule="auto" w:after="40"/>
      </w:pPr>
      <w:r>
        <w:t>选项明确写明“购入房产后”，说明初始购房已经完成。教材将房产频繁易主或涉及快速交易列为洗钱红旗</w:t>
      </w:r>
      <w:r>
        <w:rPr>
          <w:sz w:val="15"/>
          <w:vertAlign w:val="superscript"/>
        </w:rPr>
        <w:t>P122</w:t>
      </w:r>
      <w:r>
        <w:t>；这类操作可能形成新的交易记录或增加资金路径复杂度，时间上晚于置入。</w:t>
      </w:r>
    </w:p>
    <w:p>
      <w:pPr>
        <w:spacing w:line="360" w:lineRule="auto" w:after="40"/>
      </w:pPr>
      <w:r>
        <w:rPr>
          <w:b/>
          <w:shd w:fill="D6E4F0" w:val="clear"/>
        </w:rPr>
        <w:t>易错提醒：</w:t>
      </w:r>
    </w:p>
    <w:p>
      <w:pPr>
        <w:spacing w:line="360" w:lineRule="auto" w:after="40"/>
      </w:pPr>
      <w:r>
        <w:t>判断洗钱阶段应关注行为完成的功能和发生顺序，不能仅根据支付工具判断。存入银行账户可能完成置入</w:t>
      </w:r>
      <w:r>
        <w:rPr>
          <w:sz w:val="15"/>
          <w:vertAlign w:val="superscript"/>
        </w:rPr>
        <w:t>P16</w:t>
      </w:r>
      <w:r>
        <w:t>，账户之间转账可能用于离析</w:t>
      </w:r>
      <w:r>
        <w:rPr>
          <w:sz w:val="15"/>
          <w:vertAlign w:val="superscript"/>
        </w:rPr>
        <w:t>P16</w:t>
      </w:r>
      <w:r>
        <w:t>，使用网上银行支付并不天然属于置入。资产购买也不必然属于某一个阶段：直接使用待清洗的犯罪现金购买资产，可能承担置入功能；使用经过多层交易的资金购买看似合法的资产，则更接近融合</w:t>
      </w:r>
      <w:r>
        <w:rPr>
          <w:sz w:val="15"/>
          <w:vertAlign w:val="superscript"/>
        </w:rPr>
        <w:t>P16</w:t>
      </w:r>
      <w:r>
        <w:t>。</w:t>
      </w:r>
    </w:p>
    <w:p>
      <w:pPr>
        <w:spacing w:line="360" w:lineRule="auto" w:after="120"/>
      </w:pPr>
      <w:r/>
    </w:p>
    <w:p>
      <w:pPr>
        <w:spacing w:line="360" w:lineRule="auto" w:after="40"/>
      </w:pPr>
      <w:r>
        <w:t>3. 与加密货币相关的可被洗钱者利用的技术包括:（选择两项。）</w:t>
      </w:r>
    </w:p>
    <w:p>
      <w:pPr>
        <w:spacing w:line="360" w:lineRule="auto" w:after="20"/>
      </w:pPr>
      <w:r>
        <w:t>A.生成式辅助程序。</w:t>
      </w:r>
    </w:p>
    <w:p>
      <w:pPr>
        <w:spacing w:line="360" w:lineRule="auto" w:after="20"/>
      </w:pPr>
      <w:r>
        <w:t>B.小型语言模型。</w:t>
      </w:r>
    </w:p>
    <w:p>
      <w:pPr>
        <w:spacing w:line="360" w:lineRule="auto" w:after="20"/>
      </w:pPr>
      <w:r>
        <w:t>C.隐私币。</w:t>
      </w:r>
    </w:p>
    <w:p>
      <w:pPr>
        <w:spacing w:line="360" w:lineRule="auto" w:after="20"/>
      </w:pPr>
      <w:r>
        <w:t>D.加密货币混合器。</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识别可被洗钱者利用的加密资产相关匿名技术</w:t>
      </w:r>
    </w:p>
    <w:p>
      <w:pPr>
        <w:spacing w:line="360" w:lineRule="auto" w:after="40"/>
      </w:pPr>
      <w:r>
        <w:rPr>
          <w:b/>
          <w:shd w:fill="D6E4F0" w:val="clear"/>
        </w:rPr>
        <w:t>核心解析：</w:t>
      </w:r>
    </w:p>
    <w:p>
      <w:pPr>
        <w:spacing w:line="360" w:lineRule="auto" w:after="40"/>
      </w:pPr>
      <w:r>
        <w:t>教材在介绍数字资产洗钱技术时指出，洗钱者利用</w:t>
      </w:r>
      <w:r>
        <w:rPr>
          <w:b/>
        </w:rPr>
        <w:t>混币服务和隐私币</w:t>
      </w:r>
      <w:r>
        <w:t>来实现匿名</w:t>
      </w:r>
      <w:r>
        <w:rPr>
          <w:sz w:val="15"/>
          <w:vertAlign w:val="superscript"/>
        </w:rPr>
        <w:t>P17</w:t>
      </w:r>
      <w:r>
        <w:t>。题干问的是“与加密货币相关的可被洗钱者利用的技术”，而隐私币和加密货币混合器正是为</w:t>
      </w:r>
      <w:r>
        <w:rPr>
          <w:b/>
        </w:rPr>
        <w:t>混淆资金来源、切断交易可追溯性</w:t>
      </w:r>
      <w:r>
        <w:t>而设计的匿名工具，直接对应教材列举的这两种手段，因此C和D成立。</w:t>
      </w:r>
    </w:p>
    <w:p>
      <w:pPr>
        <w:spacing w:line="360" w:lineRule="auto" w:after="40"/>
      </w:pPr>
      <w:r>
        <w:rPr>
          <w:b/>
          <w:shd w:fill="D6E4F0" w:val="clear"/>
        </w:rPr>
        <w:t>教材原句：</w:t>
      </w:r>
    </w:p>
    <w:p>
      <w:pPr>
        <w:spacing w:line="360" w:lineRule="auto" w:after="40"/>
      </w:pPr>
      <w:r>
        <w:t>"Launderers use mixing services and privacy coins for anonymity."</w:t>
      </w:r>
      <w:r>
        <w:rPr>
          <w:sz w:val="15"/>
          <w:vertAlign w:val="superscript"/>
        </w:rPr>
        <w:t>P17</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生成式AI辅助工具可用于增强风险评估、协助生成SAR叙述等合规工作</w:t>
      </w:r>
      <w:r>
        <w:rPr>
          <w:sz w:val="15"/>
          <w:vertAlign w:val="superscript"/>
        </w:rPr>
        <w:t>P397</w:t>
      </w:r>
      <w:r>
        <w:t>，但A并非本题所指用于增强加密资产匿名性的技术，因此匹配度远不如C、D。</w:t>
      </w:r>
    </w:p>
    <w:p>
      <w:pPr>
        <w:spacing w:line="360" w:lineRule="auto" w:after="40"/>
      </w:pPr>
      <w:r>
        <w:rPr>
          <w:b/>
          <w:shd w:fill="D6E4F0" w:val="clear"/>
        </w:rPr>
        <w:t>B项错误：</w:t>
      </w:r>
    </w:p>
    <w:p>
      <w:pPr>
        <w:spacing w:line="360" w:lineRule="auto" w:after="40"/>
      </w:pPr>
      <w:r>
        <w:t>小型语言模型是一类人工智能模型，并不以混淆加密资产交易来源或增强匿名性为其固有功能，与题干所问的加密资产洗钱技术不匹配。</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