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spacing w:line="360" w:lineRule="auto" w:after="240"/>
      </w:pPr>
      <w:r>
        <w:t>试卷名称:CAMS CH02</w:t>
      </w:r>
    </w:p>
    <w:p>
      <w:pPr>
        <w:spacing w:line="360" w:lineRule="auto" w:after="160"/>
      </w:pPr>
      <w:r>
        <w:t>一、单项选择题</w:t>
      </w:r>
    </w:p>
    <w:p>
      <w:pPr>
        <w:spacing w:line="360" w:lineRule="auto" w:after="40"/>
      </w:pPr>
      <w:r>
        <w:t>1. 金融行业在哪些方面容易受到洗钱风险的影响？（选择三项。）</w:t>
      </w:r>
    </w:p>
    <w:p>
      <w:pPr>
        <w:spacing w:line="360" w:lineRule="auto" w:after="20"/>
      </w:pPr>
      <w:r>
        <w:t>A.它须承担更严格的监管义务，并有严格的报告要求，以保护金融体系免受非法资金流动的影响，并确保市场稳定</w:t>
      </w:r>
    </w:p>
    <w:p>
      <w:pPr>
        <w:spacing w:line="360" w:lineRule="auto" w:after="20"/>
      </w:pPr>
      <w:r>
        <w:t>B.它投资于新技术和新系统，以确保能够有效且及时地发现金融犯罪</w:t>
      </w:r>
    </w:p>
    <w:p>
      <w:pPr>
        <w:spacing w:line="360" w:lineRule="auto" w:after="20"/>
      </w:pPr>
      <w:r>
        <w:t>C.它提供复杂的金融产品，这可能会使资金流动更难追踪</w:t>
      </w:r>
    </w:p>
    <w:p>
      <w:pPr>
        <w:spacing w:line="360" w:lineRule="auto" w:after="20"/>
      </w:pPr>
      <w:r>
        <w:t>D.它经常与高风险司法管辖区打交道，这可能会增加遭受金融犯罪的风险或受到监管不力的影响</w:t>
      </w:r>
    </w:p>
    <w:p>
      <w:pPr>
        <w:spacing w:line="360" w:lineRule="auto" w:after="20"/>
      </w:pPr>
      <w:r>
        <w:t>E.它的交易量很大，这使得识别可疑活动更具挑战性</w:t>
      </w:r>
    </w:p>
    <w:p>
      <w:pPr>
        <w:spacing w:line="360" w:lineRule="auto" w:after="40"/>
      </w:pPr>
      <w:r>
        <w:t>答案:C、D、E</w:t>
      </w:r>
    </w:p>
    <w:p>
      <w:pPr>
        <w:spacing w:line="360" w:lineRule="auto" w:after="40"/>
      </w:pPr>
      <w:r>
        <w:rPr>
          <w:b/>
          <w:shd w:fill="D6E4F0" w:val="clear"/>
        </w:rPr>
        <w:t>解析:</w:t>
      </w:r>
    </w:p>
    <w:p>
      <w:pPr>
        <w:spacing w:line="360" w:lineRule="auto" w:after="40"/>
      </w:pPr>
      <w:r>
        <w:rPr>
          <w:b/>
          <w:shd w:fill="D6E4F0" w:val="clear"/>
        </w:rPr>
        <w:t>考点：</w:t>
      </w:r>
    </w:p>
    <w:p>
      <w:pPr>
        <w:spacing w:line="360" w:lineRule="auto" w:after="40"/>
      </w:pPr>
      <w:r>
        <w:t>识别金融行业洗钱风险脆弱性的</w:t>
      </w:r>
      <w:r>
        <w:rPr>
          <w:b/>
        </w:rPr>
        <w:t>内在来源因素</w:t>
      </w:r>
    </w:p>
    <w:p>
      <w:pPr>
        <w:spacing w:line="360" w:lineRule="auto" w:after="40"/>
      </w:pPr>
      <w:r>
        <w:rPr>
          <w:b/>
          <w:shd w:fill="D6E4F0" w:val="clear"/>
        </w:rPr>
        <w:t>核心解析：</w:t>
      </w:r>
    </w:p>
    <w:p>
      <w:pPr>
        <w:spacing w:line="360" w:lineRule="auto" w:after="40"/>
      </w:pPr>
      <w:r>
        <w:t>教材指出，多个因素导致银行业对洗钱的脆弱性增加，具体包括：①</w:t>
      </w:r>
      <w:r>
        <w:rPr>
          <w:b/>
        </w:rPr>
        <w:t>交易量与规模</w:t>
      </w:r>
      <w:r>
        <w:t>——银行每日处理大量交易，非法资金易混入合法活动；②</w:t>
      </w:r>
      <w:r>
        <w:rPr>
          <w:b/>
        </w:rPr>
        <w:t>复杂产品</w:t>
      </w:r>
      <w:r>
        <w:t>——银行提供的多样化产品（如电汇、投资、贸易融资、代理行）可能被洗钱者利用；③</w:t>
      </w:r>
      <w:r>
        <w:rPr>
          <w:b/>
        </w:rPr>
        <w:t>国际业务</w:t>
      </w:r>
      <w:r>
        <w:t>——银行的全球运营使犯罪分子能跨境转移资金并利用监管差异</w:t>
      </w:r>
      <w:r>
        <w:rPr>
          <w:sz w:val="15"/>
          <w:vertAlign w:val="superscript"/>
        </w:rPr>
        <w:t>P54</w:t>
      </w:r>
      <w:r>
        <w:t>。此外，复杂金融产品可能掩盖资金来源并使交易监控复杂化</w:t>
      </w:r>
      <w:r>
        <w:rPr>
          <w:sz w:val="15"/>
          <w:vertAlign w:val="superscript"/>
        </w:rPr>
        <w:t>P50</w:t>
      </w:r>
      <w:r>
        <w:t>，高风险司法管辖区为洗钱提供有利环境</w:t>
      </w:r>
      <w:r>
        <w:rPr>
          <w:sz w:val="15"/>
          <w:vertAlign w:val="superscript"/>
        </w:rPr>
        <w:t>P77</w:t>
      </w:r>
      <w:r>
        <w:t>，巨大的交易量使银行难以识别可疑活动</w:t>
      </w:r>
      <w:r>
        <w:rPr>
          <w:sz w:val="15"/>
          <w:vertAlign w:val="superscript"/>
        </w:rPr>
        <w:t>P54</w:t>
      </w:r>
      <w:r>
        <w:t>。题干问金融行业容易受洗钱风险影响的“方面”，C、D、E分别对应教材明确列举的产品复杂性、高风险司法管辖区的跨境特征、以及大交易量——这些都是金融行业内在的业务特征直接带来的脆弱性，而非外部施加的应对要求。</w:t>
      </w:r>
    </w:p>
    <w:p>
      <w:pPr>
        <w:spacing w:line="360" w:lineRule="auto" w:after="40"/>
      </w:pPr>
      <w:r>
        <w:rPr>
          <w:b/>
          <w:shd w:fill="D6E4F0" w:val="clear"/>
        </w:rPr>
        <w:t>教材原句：</w:t>
      </w:r>
    </w:p>
    <w:p>
      <w:pPr>
        <w:spacing w:line="360" w:lineRule="auto" w:after="40"/>
      </w:pPr>
      <w:r>
        <w:t>"Several factors contribute to the banking sector's increased vulnerability to money laundering:"</w:t>
      </w:r>
    </w:p>
    <w:p>
      <w:pPr>
        <w:spacing w:line="360" w:lineRule="auto" w:after="40"/>
      </w:pPr>
      <w:r>
        <w:rPr>
          <w:b/>
          <w:shd w:fill="D6E4F0" w:val="clear"/>
        </w:rPr>
        <w:t>错误项分析：</w:t>
      </w:r>
    </w:p>
    <w:p>
      <w:pPr>
        <w:spacing w:line="360" w:lineRule="auto" w:after="40"/>
      </w:pPr>
      <w:r>
        <w:rPr>
          <w:b/>
          <w:shd w:fill="D6E4F0" w:val="clear"/>
        </w:rPr>
        <w:t>A项错误：</w:t>
      </w:r>
    </w:p>
    <w:p>
      <w:pPr>
        <w:spacing w:line="360" w:lineRule="auto" w:after="40"/>
      </w:pPr>
      <w:r>
        <w:t>严格的监管义务和报告要求是为降低风险而设置的合规措施，不是金融行业容易被洗钱者利用的内在业务特征。</w:t>
      </w:r>
    </w:p>
    <w:p>
      <w:pPr>
        <w:spacing w:line="360" w:lineRule="auto" w:after="40"/>
      </w:pPr>
      <w:r>
        <w:rPr>
          <w:b/>
          <w:shd w:fill="D6E4F0" w:val="clear"/>
        </w:rPr>
        <w:t>B项错误：</w:t>
      </w:r>
    </w:p>
    <w:p>
      <w:pPr>
        <w:spacing w:line="360" w:lineRule="auto" w:after="40"/>
      </w:pPr>
      <w:r>
        <w:t>投资新技术和系统旨在提高金融犯罪检测能力，是缓解风险的措施，而不是造成行业脆弱性的原因。</w:t>
      </w:r>
    </w:p>
    <w:p>
      <w:pPr>
        <w:spacing w:line="360" w:lineRule="auto" w:after="40"/>
      </w:pPr>
      <w:r>
        <w:rPr>
          <w:b/>
          <w:shd w:fill="D6E4F0" w:val="clear"/>
        </w:rPr>
        <w:t>易错提醒：</w:t>
      </w:r>
    </w:p>
    <w:p>
      <w:pPr>
        <w:spacing w:line="360" w:lineRule="auto" w:after="40"/>
      </w:pPr>
      <w:r>
        <w:t>脆弱性来源与应对措施的区别：题干问的是金融行业容易受洗钱风险影响的“内在方面”，即行业特征本身（如产品复杂、交易量大、跨境业务）为什么给洗钱者提供了可乘之机</w:t>
      </w:r>
      <w:r>
        <w:rPr>
          <w:sz w:val="15"/>
          <w:vertAlign w:val="superscript"/>
        </w:rPr>
        <w:t>P54</w:t>
      </w:r>
      <w:r>
        <w:t>。选项A（监管义务）和选项B（技术投资）描述的是行业为管理这些风险而建立的外部防线，属于减轻措施而非脆弱性来源。</w:t>
      </w:r>
    </w:p>
    <w:p>
      <w:pPr>
        <w:spacing w:line="360" w:lineRule="auto" w:after="120"/>
      </w:pPr>
      <w:r/>
    </w:p>
    <w:p>
      <w:pPr>
        <w:spacing w:line="360" w:lineRule="auto" w:after="40"/>
      </w:pPr>
      <w:r>
        <w:t>2. 一家公司对犯罪组织的吸引力程度受以下哪些因素影响？（选择两项。）</w:t>
      </w:r>
    </w:p>
    <w:p>
      <w:pPr>
        <w:spacing w:line="360" w:lineRule="auto" w:after="20"/>
      </w:pPr>
      <w:r>
        <w:t>A.与该司法管辖区相关的年度费用金额</w:t>
      </w:r>
    </w:p>
    <w:p>
      <w:pPr>
        <w:spacing w:line="360" w:lineRule="auto" w:after="20"/>
      </w:pPr>
      <w:r>
        <w:t>B.无记名股票的可发行性</w:t>
      </w:r>
    </w:p>
    <w:p>
      <w:pPr>
        <w:spacing w:line="360" w:lineRule="auto" w:after="20"/>
      </w:pPr>
      <w:r>
        <w:t>C.该司法管辖区关于披露受益所有权的规定</w:t>
      </w:r>
    </w:p>
    <w:p>
      <w:pPr>
        <w:spacing w:line="360" w:lineRule="auto" w:after="20"/>
      </w:pPr>
      <w:r>
        <w:t>D.前往该司法管辖区的便利性</w:t>
      </w:r>
    </w:p>
    <w:p>
      <w:pPr>
        <w:spacing w:line="360" w:lineRule="auto" w:after="40"/>
      </w:pPr>
      <w:r>
        <w:t>答案:B、C</w:t>
      </w:r>
    </w:p>
    <w:p>
      <w:pPr>
        <w:spacing w:line="360" w:lineRule="auto" w:after="40"/>
      </w:pPr>
      <w:r>
        <w:rPr>
          <w:b/>
          <w:shd w:fill="D6E4F0" w:val="clear"/>
        </w:rPr>
        <w:t>解析:</w:t>
      </w:r>
    </w:p>
    <w:p>
      <w:pPr>
        <w:spacing w:line="360" w:lineRule="auto" w:after="40"/>
      </w:pPr>
      <w:r>
        <w:rPr>
          <w:b/>
          <w:shd w:fill="D6E4F0" w:val="clear"/>
        </w:rPr>
        <w:t>考点：</w:t>
      </w:r>
    </w:p>
    <w:p>
      <w:pPr>
        <w:spacing w:line="360" w:lineRule="auto" w:after="40"/>
      </w:pPr>
      <w:r>
        <w:t>识别公司结构吸引犯罪组织的</w:t>
      </w:r>
      <w:r>
        <w:rPr>
          <w:b/>
        </w:rPr>
        <w:t>所有权隐匿因素</w:t>
      </w:r>
      <w:r>
        <w:t>。</w:t>
      </w:r>
    </w:p>
    <w:p>
      <w:pPr>
        <w:spacing w:line="360" w:lineRule="auto" w:after="40"/>
      </w:pPr>
      <w:r>
        <w:rPr>
          <w:b/>
          <w:shd w:fill="D6E4F0" w:val="clear"/>
        </w:rPr>
        <w:t>核心解析：</w:t>
      </w:r>
    </w:p>
    <w:p>
      <w:pPr>
        <w:spacing w:line="360" w:lineRule="auto" w:after="40"/>
      </w:pPr>
      <w:r>
        <w:t>犯罪组织偏好能够</w:t>
      </w:r>
      <w:r>
        <w:rPr>
          <w:b/>
        </w:rPr>
        <w:t>隐藏真实控制人</w:t>
      </w:r>
      <w:r>
        <w:t>的公司结构。B项所述</w:t>
      </w:r>
      <w:r>
        <w:rPr>
          <w:b/>
        </w:rPr>
        <w:t>无记名股票</w:t>
      </w:r>
      <w:r>
        <w:t>使持有者成为名义所有人，所有权可通过占有转移；C项所述</w:t>
      </w:r>
      <w:r>
        <w:rPr>
          <w:b/>
        </w:rPr>
        <w:t>受益所有权披露规则</w:t>
      </w:r>
      <w:r>
        <w:t>决定监管者能否穿透公司结构找到真正控制人</w:t>
      </w:r>
      <w:r>
        <w:rPr>
          <w:sz w:val="15"/>
          <w:vertAlign w:val="superscript"/>
        </w:rPr>
        <w:t>P23</w:t>
      </w:r>
      <w:r>
        <w:t>。年度费用主要影响经营成本，前往司法管辖区是否便利主要影响出行安排，两者都不直接决定公司所有权能否被隐藏。</w:t>
      </w:r>
    </w:p>
    <w:p>
      <w:pPr>
        <w:spacing w:line="360" w:lineRule="auto" w:after="40"/>
      </w:pPr>
      <w:r>
        <w:rPr>
          <w:b/>
          <w:shd w:fill="D6E4F0" w:val="clear"/>
        </w:rPr>
        <w:t>错误项分析：</w:t>
      </w:r>
    </w:p>
    <w:p>
      <w:pPr>
        <w:spacing w:line="360" w:lineRule="auto" w:after="40"/>
      </w:pPr>
      <w:r>
        <w:rPr>
          <w:b/>
          <w:shd w:fill="D6E4F0" w:val="clear"/>
        </w:rPr>
        <w:t>A项错误：</w:t>
      </w:r>
    </w:p>
    <w:p>
      <w:pPr>
        <w:spacing w:line="360" w:lineRule="auto" w:after="40"/>
      </w:pPr>
      <w:r>
        <w:t>费用高低可能影响经营成本，但不直接决定真实所有权是否可被隐藏。</w:t>
      </w:r>
    </w:p>
    <w:p>
      <w:pPr>
        <w:spacing w:line="360" w:lineRule="auto" w:after="40"/>
      </w:pPr>
      <w:r>
        <w:rPr>
          <w:b/>
          <w:shd w:fill="D6E4F0" w:val="clear"/>
        </w:rPr>
        <w:t>D项错误：</w:t>
      </w:r>
    </w:p>
    <w:p>
      <w:pPr>
        <w:spacing w:line="360" w:lineRule="auto" w:after="40"/>
      </w:pPr>
      <w:r>
        <w:t>旅行便利性不是公司结构透明度或受益所有权披露的核心变量。</w:t>
      </w:r>
    </w:p>
    <w:p>
      <w:pPr>
        <w:spacing w:line="360" w:lineRule="auto" w:after="40"/>
      </w:pPr>
      <w:r>
        <w:rPr>
          <w:b/>
          <w:shd w:fill="D6E4F0" w:val="clear"/>
        </w:rPr>
        <w:t>易错提醒：</w:t>
      </w:r>
    </w:p>
    <w:p>
      <w:pPr>
        <w:spacing w:line="360" w:lineRule="auto" w:after="40"/>
      </w:pPr>
      <w:r>
        <w:t>题目问的是“公司对犯罪组织的吸引力”，优先找能隐藏所有权、弱化披露和追踪的制度性因素</w:t>
      </w:r>
      <w:r>
        <w:rPr>
          <w:sz w:val="15"/>
          <w:vertAlign w:val="superscript"/>
        </w:rPr>
        <w:t>P23</w:t>
      </w:r>
      <w:r>
        <w:t>。</w:t>
      </w:r>
    </w:p>
    <w:sectPr w:rsidR="00797F96" w:rsidSect="007705BD">
      <w:pgSz w:w="11900" w:h="16840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2130425" w14:textId="77777777" w:rsidR="00D502DB" w:rsidRDefault="00D502DB" w:rsidP="004B1ED1">
      <w:r>
        <w:separator/>
      </w:r>
    </w:p>
  </w:endnote>
  <w:endnote w:type="continuationSeparator" w:id="0">
    <w:p w14:paraId="6CC9F455" w14:textId="77777777" w:rsidR="00D502DB" w:rsidRDefault="00D502DB" w:rsidP="004B1ED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EC92F4B" w14:textId="77777777" w:rsidR="00D502DB" w:rsidRDefault="00D502DB" w:rsidP="004B1ED1">
      <w:r>
        <w:separator/>
      </w:r>
    </w:p>
  </w:footnote>
  <w:footnote w:type="continuationSeparator" w:id="0">
    <w:p w14:paraId="68C42F1C" w14:textId="77777777" w:rsidR="00D502DB" w:rsidRDefault="00D502DB" w:rsidP="004B1ED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bordersDoNotSurroundHeader/>
  <w:bordersDoNotSurroundFooter/>
  <w:defaultTabStop w:val="420"/>
  <w:drawingGridVerticalSpacing w:val="20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644CB"/>
    <w:rsid w:val="00010147"/>
    <w:rsid w:val="00033C1A"/>
    <w:rsid w:val="00040102"/>
    <w:rsid w:val="000D33A7"/>
    <w:rsid w:val="000F230C"/>
    <w:rsid w:val="000F78D0"/>
    <w:rsid w:val="00131228"/>
    <w:rsid w:val="001462D8"/>
    <w:rsid w:val="0015668A"/>
    <w:rsid w:val="00177DC7"/>
    <w:rsid w:val="001A7D92"/>
    <w:rsid w:val="002077A3"/>
    <w:rsid w:val="00220F69"/>
    <w:rsid w:val="002B050E"/>
    <w:rsid w:val="0033201A"/>
    <w:rsid w:val="0033318A"/>
    <w:rsid w:val="003607DA"/>
    <w:rsid w:val="00367F68"/>
    <w:rsid w:val="00435F1E"/>
    <w:rsid w:val="00474E2F"/>
    <w:rsid w:val="00483F5C"/>
    <w:rsid w:val="004962E1"/>
    <w:rsid w:val="004A749E"/>
    <w:rsid w:val="004B1ED1"/>
    <w:rsid w:val="00526572"/>
    <w:rsid w:val="00573E0A"/>
    <w:rsid w:val="005A2A6F"/>
    <w:rsid w:val="005A7BEF"/>
    <w:rsid w:val="005D7D77"/>
    <w:rsid w:val="00607874"/>
    <w:rsid w:val="00646B58"/>
    <w:rsid w:val="0072289C"/>
    <w:rsid w:val="00745570"/>
    <w:rsid w:val="00753BC4"/>
    <w:rsid w:val="007705BD"/>
    <w:rsid w:val="00797F96"/>
    <w:rsid w:val="007D7360"/>
    <w:rsid w:val="007E7BE2"/>
    <w:rsid w:val="007F09BD"/>
    <w:rsid w:val="00837539"/>
    <w:rsid w:val="008644CB"/>
    <w:rsid w:val="008C76EC"/>
    <w:rsid w:val="008D6C8E"/>
    <w:rsid w:val="009E4018"/>
    <w:rsid w:val="00A13FA3"/>
    <w:rsid w:val="00A167EC"/>
    <w:rsid w:val="00A215D8"/>
    <w:rsid w:val="00B12FCC"/>
    <w:rsid w:val="00BF7B5A"/>
    <w:rsid w:val="00C67B09"/>
    <w:rsid w:val="00CA03E7"/>
    <w:rsid w:val="00CA0B43"/>
    <w:rsid w:val="00CC049E"/>
    <w:rsid w:val="00D502DB"/>
    <w:rsid w:val="00D935DD"/>
    <w:rsid w:val="00DA5DA4"/>
    <w:rsid w:val="00E13904"/>
    <w:rsid w:val="00E176BA"/>
    <w:rsid w:val="00E26F44"/>
    <w:rsid w:val="00E429AB"/>
    <w:rsid w:val="00E63479"/>
    <w:rsid w:val="00EC4A51"/>
    <w:rsid w:val="00EE0B23"/>
    <w:rsid w:val="00F52D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ED38201"/>
  <w14:defaultImageDpi w14:val="330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Revision"/>
    <w:hidden/>
    <w:uiPriority w:val="99"/>
    <w:semiHidden/>
    <w:rsid w:val="008644CB"/>
  </w:style>
  <w:style w:type="character" w:styleId="a4">
    <w:name w:val="annotation reference"/>
    <w:basedOn w:val="a0"/>
    <w:uiPriority w:val="99"/>
    <w:semiHidden/>
    <w:unhideWhenUsed/>
    <w:rsid w:val="00CA0B43"/>
    <w:rPr>
      <w:sz w:val="21"/>
      <w:szCs w:val="21"/>
    </w:rPr>
  </w:style>
  <w:style w:type="paragraph" w:styleId="a5">
    <w:name w:val="annotation text"/>
    <w:basedOn w:val="a"/>
    <w:link w:val="a6"/>
    <w:uiPriority w:val="99"/>
    <w:semiHidden/>
    <w:unhideWhenUsed/>
    <w:rsid w:val="00CA0B43"/>
    <w:pPr>
      <w:jc w:val="left"/>
    </w:pPr>
  </w:style>
  <w:style w:type="character" w:customStyle="1" w:styleId="a6">
    <w:name w:val="批注文字 字符"/>
    <w:basedOn w:val="a0"/>
    <w:link w:val="a5"/>
    <w:uiPriority w:val="99"/>
    <w:semiHidden/>
    <w:rsid w:val="00CA0B43"/>
  </w:style>
  <w:style w:type="paragraph" w:styleId="a7">
    <w:name w:val="annotation subject"/>
    <w:basedOn w:val="a5"/>
    <w:next w:val="a5"/>
    <w:link w:val="a8"/>
    <w:uiPriority w:val="99"/>
    <w:semiHidden/>
    <w:unhideWhenUsed/>
    <w:rsid w:val="00CA0B43"/>
    <w:rPr>
      <w:b/>
      <w:bCs/>
    </w:rPr>
  </w:style>
  <w:style w:type="character" w:customStyle="1" w:styleId="a8">
    <w:name w:val="批注主题 字符"/>
    <w:basedOn w:val="a6"/>
    <w:link w:val="a7"/>
    <w:uiPriority w:val="99"/>
    <w:semiHidden/>
    <w:rsid w:val="00CA0B43"/>
    <w:rPr>
      <w:b/>
      <w:bCs/>
    </w:rPr>
  </w:style>
  <w:style w:type="paragraph" w:styleId="a9">
    <w:name w:val="Balloon Text"/>
    <w:basedOn w:val="a"/>
    <w:link w:val="aa"/>
    <w:uiPriority w:val="99"/>
    <w:semiHidden/>
    <w:unhideWhenUsed/>
    <w:rsid w:val="00CA0B43"/>
    <w:rPr>
      <w:rFonts w:ascii="宋体" w:eastAsia="宋体"/>
      <w:sz w:val="18"/>
      <w:szCs w:val="18"/>
    </w:rPr>
  </w:style>
  <w:style w:type="character" w:customStyle="1" w:styleId="aa">
    <w:name w:val="批注框文本 字符"/>
    <w:basedOn w:val="a0"/>
    <w:link w:val="a9"/>
    <w:uiPriority w:val="99"/>
    <w:semiHidden/>
    <w:rsid w:val="00CA0B43"/>
    <w:rPr>
      <w:rFonts w:ascii="宋体" w:eastAsia="宋体"/>
      <w:sz w:val="18"/>
      <w:szCs w:val="18"/>
    </w:rPr>
  </w:style>
  <w:style w:type="paragraph" w:styleId="ab">
    <w:name w:val="Document Map"/>
    <w:basedOn w:val="a"/>
    <w:link w:val="ac"/>
    <w:uiPriority w:val="99"/>
    <w:semiHidden/>
    <w:unhideWhenUsed/>
    <w:rsid w:val="00797F96"/>
    <w:rPr>
      <w:rFonts w:ascii="宋体" w:eastAsia="宋体"/>
    </w:rPr>
  </w:style>
  <w:style w:type="character" w:customStyle="1" w:styleId="ac">
    <w:name w:val="文档结构图 字符"/>
    <w:basedOn w:val="a0"/>
    <w:link w:val="ab"/>
    <w:uiPriority w:val="99"/>
    <w:semiHidden/>
    <w:rsid w:val="00797F96"/>
    <w:rPr>
      <w:rFonts w:ascii="宋体" w:eastAsia="宋体"/>
    </w:rPr>
  </w:style>
  <w:style w:type="table" w:styleId="ad">
    <w:name w:val="Table Grid"/>
    <w:basedOn w:val="a1"/>
    <w:uiPriority w:val="39"/>
    <w:rsid w:val="00797F9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e">
    <w:name w:val="header"/>
    <w:basedOn w:val="a"/>
    <w:link w:val="af"/>
    <w:uiPriority w:val="99"/>
    <w:unhideWhenUsed/>
    <w:rsid w:val="004B1ED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4B1ED1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4B1ED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4B1ED1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办公室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办公室">
      <a:majorFont>
        <a:latin typeface="DengXian Light" panose="020F0302020204030204"/>
        <a:ea typeface=""/>
        <a:cs typeface=""/>
        <a:font script="Jpan" typeface="ＭＳ ゴシック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DengXian" panose="020F0502020204030204"/>
        <a:ea typeface=""/>
        <a:cs typeface=""/>
        <a:font script="Jpan" typeface="ＭＳ 明朝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办公室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3</Pages>
  <Words>320</Words>
  <Characters>1827</Characters>
  <Application>Microsoft Office Word</Application>
  <DocSecurity>0</DocSecurity>
  <Lines>15</Lines>
  <Paragraphs>4</Paragraphs>
  <ScaleCrop>false</ScaleCrop>
  <Company/>
  <LinksUpToDate>false</LinksUpToDate>
  <CharactersWithSpaces>2143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love980</dc:creator>
  <cp:keywords/>
  <dc:description/>
  <cp:lastModifiedBy>8613849083012</cp:lastModifiedBy>
  <cp:revision>54</cp:revision>
  <dcterms:created xsi:type="dcterms:W3CDTF">2017-05-14T09:31:00Z</dcterms:created>
  <dcterms:modified xsi:type="dcterms:W3CDTF">2021-12-30T09:44:00Z</dcterms:modified>
</cp:coreProperties>
</file>