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CH02</w:t>
      </w:r>
    </w:p>
    <w:p>
      <w:pPr>
        <w:spacing w:line="360" w:lineRule="auto" w:after="160"/>
      </w:pPr>
      <w:r>
        <w:t>一、单项选择题</w:t>
      </w:r>
    </w:p>
    <w:p>
      <w:pPr>
        <w:spacing w:line="360" w:lineRule="auto" w:after="40"/>
      </w:pPr>
      <w:r>
        <w:t>1. 在以下哪种情况下，公司指定的反洗钱合规官最有必要对公司的反洗钱计划进行全面审查，包括识别风险和相应的控制措施？</w:t>
      </w:r>
    </w:p>
    <w:p>
      <w:pPr>
        <w:spacing w:line="360" w:lineRule="auto" w:after="20"/>
      </w:pPr>
      <w:r>
        <w:t>A.外部审计发现了一些不足之处</w:t>
      </w:r>
    </w:p>
    <w:p>
      <w:pPr>
        <w:spacing w:line="360" w:lineRule="auto" w:after="20"/>
      </w:pPr>
      <w:r>
        <w:t>B.该公司正在与另一实体合并或收购另一实体</w:t>
      </w:r>
    </w:p>
    <w:p>
      <w:pPr>
        <w:spacing w:line="360" w:lineRule="auto" w:after="20"/>
      </w:pPr>
      <w:r>
        <w:t>C.公司所在辖区的立法机构提议制定广泛的反洗钱立法</w:t>
      </w:r>
    </w:p>
    <w:p>
      <w:pPr>
        <w:spacing w:line="360" w:lineRule="auto" w:after="20"/>
      </w:pPr>
      <w:r>
        <w:t>D.另一起涉及其他行业的重大洗钱案件被公开报道</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识别触发反洗钱计划全面审查的关键事件类型</w:t>
      </w:r>
    </w:p>
    <w:p>
      <w:pPr>
        <w:spacing w:line="360" w:lineRule="auto" w:after="40"/>
      </w:pPr>
      <w:r>
        <w:rPr>
          <w:b/>
          <w:shd w:fill="D6E4F0" w:val="clear"/>
        </w:rPr>
        <w:t>核心解析：</w:t>
      </w:r>
    </w:p>
    <w:p>
      <w:pPr>
        <w:spacing w:line="360" w:lineRule="auto" w:after="40"/>
      </w:pPr>
      <w:r>
        <w:t>反洗钱计划需与机构自身的风险状况相匹配。当机构的业务结构、风险敞口发生根本性变化时，原有的风险识别和控制措施可能不再适用，必须进行全面审查。</w:t>
      </w:r>
      <w:r>
        <w:rPr>
          <w:b/>
        </w:rPr>
        <w:t>合并或收购另一实体</w:t>
      </w:r>
      <w:r>
        <w:t>（选项B）正属于这种情况：教材指出，合并可能导致机构风险偏好发生变化，纳入更高风险的活动</w:t>
      </w:r>
      <w:r>
        <w:rPr>
          <w:sz w:val="15"/>
          <w:vertAlign w:val="superscript"/>
        </w:rPr>
        <w:t>P271</w:t>
      </w:r>
      <w:r>
        <w:t>；并购交易本身涉及复杂的资金流动和所有权结构，洗钱风险较高</w:t>
      </w:r>
      <w:r>
        <w:rPr>
          <w:sz w:val="15"/>
          <w:vertAlign w:val="superscript"/>
        </w:rPr>
        <w:t>P80</w:t>
      </w:r>
      <w:r>
        <w:t>，且需对被收购公司进行法律与合规审查</w:t>
      </w:r>
      <w:r>
        <w:rPr>
          <w:sz w:val="15"/>
          <w:vertAlign w:val="superscript"/>
        </w:rPr>
        <w:t>P81</w:t>
      </w:r>
      <w:r>
        <w:t>。题干中该公司正处于与另一实体合并或收购的阶段，这一事件将直接改变其客户、业务、地域等固有风险要素，因此最有必要对反洗钱计划进行全面审查，重新评估风险及相应控制。</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外部审计发现不足之处，通常触发的是对特定缺陷的纠正或改进，而非必然引发对整个计划的“全面审查”。教材将审计（第三道防线）定位为对控制环境有效性的客观评估</w:t>
      </w:r>
      <w:r>
        <w:rPr>
          <w:sz w:val="15"/>
          <w:vertAlign w:val="superscript"/>
        </w:rPr>
        <w:t>P257</w:t>
      </w:r>
      <w:r>
        <w:t>，其发现的问题为董事会确保及时解决缺陷提供了方向</w:t>
      </w:r>
      <w:r>
        <w:rPr>
          <w:sz w:val="15"/>
          <w:vertAlign w:val="superscript"/>
        </w:rPr>
        <w:t>P260</w:t>
      </w:r>
      <w:r>
        <w:t>，但这与因机构根本性变化而驱动的全面再评估在触发原因和审查广度上存在差异。</w:t>
      </w:r>
    </w:p>
    <w:p>
      <w:pPr>
        <w:spacing w:line="360" w:lineRule="auto" w:after="40"/>
      </w:pPr>
      <w:r>
        <w:rPr>
          <w:b/>
          <w:shd w:fill="D6E4F0" w:val="clear"/>
        </w:rPr>
        <w:t>C项错误：</w:t>
      </w:r>
    </w:p>
    <w:p>
      <w:pPr>
        <w:spacing w:line="360" w:lineRule="auto" w:after="40"/>
      </w:pPr>
      <w:r>
        <w:t>立法机构“提议”制定广泛的反洗钱立法，法案尚未生效，内容也未确定，监管要求尚未改变。相较之下，合并收购是已经发生或正在进行的、会即刻改变机构风险状况的事件，比一项未来可能变化的立法提议更需要立即启动全面审查。</w:t>
      </w:r>
    </w:p>
    <w:p>
      <w:pPr>
        <w:spacing w:line="360" w:lineRule="auto" w:after="40"/>
      </w:pPr>
      <w:r>
        <w:rPr>
          <w:b/>
          <w:shd w:fill="D6E4F0" w:val="clear"/>
        </w:rPr>
        <w:t>D项错误：</w:t>
      </w:r>
    </w:p>
    <w:p>
      <w:pPr>
        <w:spacing w:line="360" w:lineRule="auto" w:after="40"/>
      </w:pPr>
      <w:r>
        <w:t>了解其他行业的洗钱案件虽有助于洞察合规计划的常见缺陷</w:t>
      </w:r>
      <w:r>
        <w:rPr>
          <w:sz w:val="15"/>
          <w:vertAlign w:val="superscript"/>
        </w:rPr>
        <w:t>P51</w:t>
      </w:r>
      <w:r>
        <w:t>，但这属于行业动态监测与经验借鉴的范畴，它为审视自身计划提供了外部参考，但其对机构自身风险状况的改变程度，不如一次正在进行的实质性的公司合并来得直接和根本。</w:t>
      </w:r>
    </w:p>
    <w:p>
      <w:pPr>
        <w:spacing w:line="360" w:lineRule="auto" w:after="40"/>
      </w:pPr>
      <w:r>
        <w:rPr>
          <w:b/>
          <w:shd w:fill="D6E4F0" w:val="clear"/>
        </w:rPr>
        <w:t>易错提醒：</w:t>
      </w:r>
    </w:p>
    <w:p>
      <w:pPr>
        <w:spacing w:line="360" w:lineRule="auto" w:after="40"/>
      </w:pPr>
      <w:r>
        <w:t>解题的关键是区分“触发全面审查”与“触发改进/关注”的动因层级。合并收购直接、根本性地改变了机构的固有风险边界和业务模式，因此要求对反洗钱计划进行全面重估。而外部审计发现问题、立法动向、行业负面案件，通常触发的是对现有计划的局部修正、政策追加或风险关注，其影响的深度和广度不完全等同于一次全面审查。</w:t>
      </w:r>
    </w:p>
    <w:p>
      <w:pPr>
        <w:spacing w:line="360" w:lineRule="auto" w:after="120"/>
      </w:pPr>
      <w:r/>
    </w:p>
    <w:p>
      <w:pPr>
        <w:spacing w:line="360" w:lineRule="auto" w:after="40"/>
      </w:pPr>
      <w:r>
        <w:t>2. 欧洲一家银行的合规官正在调查该行在过去两年内为某客户开立的账户。银行记录显示，该公司的主要经济活动是进出口石化产品。在一年内，该账户的交易额超过5亿美元，期间先后收到也门供应商发起的多笔大额入账电汇，随后又向阿塞拜疆的交易对手汇出电汇。如果调查中发现以下哪项因素，最应引起合规官关注？</w:t>
      </w:r>
    </w:p>
    <w:p>
      <w:pPr>
        <w:spacing w:line="360" w:lineRule="auto" w:after="20"/>
      </w:pPr>
      <w:r>
        <w:t>A.媒体检索发现一则报道，称该客户三年前曾被指控存在不当行为</w:t>
      </w:r>
    </w:p>
    <w:p>
      <w:pPr>
        <w:spacing w:line="360" w:lineRule="auto" w:after="20"/>
      </w:pPr>
      <w:r>
        <w:t>B.该欧盟银行将交易涉及的汇出国和汇入国视为高风险国家</w:t>
      </w:r>
    </w:p>
    <w:p>
      <w:pPr>
        <w:spacing w:line="360" w:lineRule="auto" w:after="20"/>
      </w:pPr>
      <w:r>
        <w:t>C.该客户的活动包括涉及多个交易对手的多笔跨境交易</w:t>
      </w:r>
    </w:p>
    <w:p>
      <w:pPr>
        <w:spacing w:line="360" w:lineRule="auto" w:after="20"/>
      </w:pPr>
      <w:r>
        <w:t>D.欧盟银行未收到有关电汇的发起人或受益人信息</w:t>
      </w:r>
    </w:p>
    <w:p>
      <w:pPr>
        <w:spacing w:line="360" w:lineRule="auto" w:after="20"/>
      </w:pPr>
      <w:r>
        <w:t>E.该客户专门从事石化产品的进出口业务</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识别电汇主体信息缺失这一直接风险，并区分具体交易红旗与一般司法管辖区风险</w:t>
      </w:r>
    </w:p>
    <w:p>
      <w:pPr>
        <w:spacing w:line="360" w:lineRule="auto" w:after="40"/>
      </w:pPr>
      <w:r>
        <w:rPr>
          <w:b/>
          <w:shd w:fill="D6E4F0" w:val="clear"/>
        </w:rPr>
        <w:t>核心解析：</w:t>
      </w:r>
    </w:p>
    <w:p>
      <w:pPr>
        <w:spacing w:line="360" w:lineRule="auto" w:after="40"/>
      </w:pPr>
      <w:r>
        <w:t>教材将隐瞒电汇信息，例如</w:t>
      </w:r>
      <w:r>
        <w:rPr>
          <w:b/>
        </w:rPr>
        <w:t>未提供充分的受益人信息</w:t>
      </w:r>
      <w:r>
        <w:t>，明确列为电汇风险指标</w:t>
      </w:r>
      <w:r>
        <w:rPr>
          <w:sz w:val="15"/>
          <w:vertAlign w:val="superscript"/>
        </w:rPr>
        <w:t>P79</w:t>
      </w:r>
      <w:r>
        <w:t>。FATF建议还要求金融机构确保电汇中的发起人和受益人数据准确</w:t>
      </w:r>
      <w:r>
        <w:rPr>
          <w:sz w:val="15"/>
          <w:vertAlign w:val="superscript"/>
        </w:rPr>
        <w:t>P148</w:t>
      </w:r>
      <w:r>
        <w:t>。选项D中，银行没有收到电汇的发起人或受益人信息，直接对应教材列明的信息隐瞒风险，也意味着银行无法落实上述电汇数据要求，因此是调查中最应关注的因素。</w:t>
      </w:r>
    </w:p>
    <w:p>
      <w:pPr>
        <w:spacing w:line="360" w:lineRule="auto" w:after="40"/>
      </w:pPr>
      <w:r>
        <w:t>选项B涉及高风险司法管辖区，同样会提高客户和交易风险。教材将司法管辖区列为客户风险评估需要考虑的因素</w:t>
      </w:r>
      <w:r>
        <w:rPr>
          <w:sz w:val="15"/>
          <w:vertAlign w:val="superscript"/>
        </w:rPr>
        <w:t>P307</w:t>
      </w:r>
      <w:r>
        <w:t>，但这属于一般风险背景；D反映的是本批电汇已经出现关键主体信息缺失。题目要求选择“the greatest concern”，因此D比B更直接，不能将B、D并列选择。</w:t>
      </w:r>
    </w:p>
    <w:p>
      <w:pPr>
        <w:spacing w:line="360" w:lineRule="auto" w:after="40"/>
      </w:pPr>
      <w:r>
        <w:rPr>
          <w:b/>
          <w:shd w:fill="D6E4F0" w:val="clear"/>
        </w:rPr>
        <w:t>教材原句：</w:t>
      </w:r>
    </w:p>
    <w:p>
      <w:pPr>
        <w:spacing w:line="360" w:lineRule="auto" w:after="40"/>
      </w:pPr>
      <w:r>
        <w:t>"Concealing information, such as not providing adequate beneficiary information"</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负面媒体指控值得进一步核查，但题干没有说明被指控行为的性质、信息可信度或最终处理结果。相比之下，D已经显示当前电汇的关键主体信息缺失，因此A不是最大关注因素。</w:t>
      </w:r>
    </w:p>
    <w:p>
      <w:pPr>
        <w:spacing w:line="360" w:lineRule="auto" w:after="40"/>
      </w:pPr>
      <w:r>
        <w:rPr>
          <w:b/>
          <w:shd w:fill="D6E4F0" w:val="clear"/>
        </w:rPr>
        <w:t>B项错误：</w:t>
      </w:r>
    </w:p>
    <w:p>
      <w:pPr>
        <w:spacing w:line="360" w:lineRule="auto" w:after="40"/>
      </w:pPr>
      <w:r>
        <w:t>教材要求客户风险评估考虑高风险司法管辖区</w:t>
      </w:r>
      <w:r>
        <w:rPr>
          <w:sz w:val="15"/>
          <w:vertAlign w:val="superscript"/>
        </w:rPr>
        <w:t>P307</w:t>
      </w:r>
      <w:r>
        <w:t>，所以B确实是风险因素，可能提高客户风险评级并要求进一步审查。但B仅反映地理风险，D则直接命中电汇信息隐瞒红旗及发起人、受益人数据要求，因此D的关注优先级更高。</w:t>
      </w:r>
    </w:p>
    <w:p>
      <w:pPr>
        <w:spacing w:line="360" w:lineRule="auto" w:after="40"/>
      </w:pPr>
      <w:r>
        <w:rPr>
          <w:b/>
          <w:shd w:fill="D6E4F0" w:val="clear"/>
        </w:rPr>
        <w:t>C项错误：</w:t>
      </w:r>
    </w:p>
    <w:p>
      <w:pPr>
        <w:spacing w:line="360" w:lineRule="auto" w:after="40"/>
      </w:pPr>
      <w:r>
        <w:t>该客户从事石化产品进出口，多笔跨境交易及多个交易对手可能与其业务模式相符。题干没有说明交易规模偏离客户画像、交易对手异常或缺乏经济目的，因此C单独不足以成为最大关注因素。</w:t>
      </w:r>
    </w:p>
    <w:p>
      <w:pPr>
        <w:spacing w:line="360" w:lineRule="auto" w:after="40"/>
      </w:pPr>
      <w:r>
        <w:rPr>
          <w:b/>
          <w:shd w:fill="D6E4F0" w:val="clear"/>
        </w:rPr>
        <w:t>E项错误：</w:t>
      </w:r>
    </w:p>
    <w:p>
      <w:pPr>
        <w:spacing w:line="360" w:lineRule="auto" w:after="40"/>
      </w:pPr>
      <w:r>
        <w:t>从事石化产品进出口只是客户的主营业务。题干没有提供异常定价、虚假单据、货物流与资金流不匹配等贸易洗钱迹象，因此不能仅凭业务类型判断其比D更可疑。</w:t>
      </w:r>
    </w:p>
    <w:p>
      <w:pPr>
        <w:spacing w:line="360" w:lineRule="auto" w:after="40"/>
      </w:pPr>
      <w:r>
        <w:rPr>
          <w:b/>
          <w:shd w:fill="D6E4F0" w:val="clear"/>
        </w:rPr>
        <w:t>易错提醒：</w:t>
      </w:r>
    </w:p>
    <w:p>
      <w:pPr>
        <w:spacing w:line="360" w:lineRule="auto" w:after="40"/>
      </w:pPr>
      <w:r>
        <w:t>“涉及高风险国家”不等于“必然是最严重的异常”。本题需要比较一般风险因素与具体交易红旗：B提高风险评级，D则表明电汇的发起人或受益人信息已经缺失，直接影响交易透明度，因此应选D。</w:t>
      </w:r>
    </w:p>
    <w:p>
      <w:pPr>
        <w:spacing w:line="360" w:lineRule="auto" w:after="120"/>
      </w:pPr>
      <w:r/>
    </w:p>
    <w:p>
      <w:pPr>
        <w:spacing w:line="360" w:lineRule="auto" w:after="40"/>
      </w:pPr>
      <w:r>
        <w:t>3. 代理银行业务被视为风险较高的银行业务领域,因为代理银行交易:</w:t>
      </w:r>
    </w:p>
    <w:p>
      <w:pPr>
        <w:spacing w:line="360" w:lineRule="auto" w:after="20"/>
      </w:pPr>
      <w:r>
        <w:t>A.主要是在高风险司法管辖区之间进行的</w:t>
      </w:r>
    </w:p>
    <w:p>
      <w:pPr>
        <w:spacing w:line="360" w:lineRule="auto" w:after="20"/>
      </w:pPr>
      <w:r>
        <w:t>B.可以匿名进行，且无需提供受益所有权信息</w:t>
      </w:r>
    </w:p>
    <w:p>
      <w:pPr>
        <w:spacing w:line="360" w:lineRule="auto" w:after="20"/>
      </w:pPr>
      <w:r>
        <w:t>C.通常包含的信息少于国内支付的信息</w:t>
      </w:r>
    </w:p>
    <w:p>
      <w:pPr>
        <w:spacing w:line="360" w:lineRule="auto" w:after="20"/>
      </w:pPr>
      <w:r>
        <w:t>D.是跨境的以及代表第三方进行的</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代理行关系的典型跨境性、间接服务及终端客户风险</w:t>
      </w:r>
    </w:p>
    <w:p>
      <w:pPr>
        <w:spacing w:line="360" w:lineRule="auto" w:after="40"/>
      </w:pPr>
      <w:r>
        <w:rPr>
          <w:b/>
          <w:shd w:fill="D6E4F0" w:val="clear"/>
        </w:rPr>
        <w:t>核心解析：</w:t>
      </w:r>
    </w:p>
    <w:p>
      <w:pPr>
        <w:spacing w:line="360" w:lineRule="auto" w:after="40"/>
      </w:pPr>
      <w:r>
        <w:t>教材将代理行关系描述为：一家银行通常在外国作为另一家银行的代理，本地银行可借助这种关系，在自身没有实体存在的司法管辖区为自己及其客户办理国际金融交易</w:t>
      </w:r>
      <w:r>
        <w:rPr>
          <w:sz w:val="15"/>
          <w:vertAlign w:val="superscript"/>
        </w:rPr>
        <w:t>P83</w:t>
      </w:r>
      <w:r>
        <w:t>。这里的“代表第三方”主要指代理行</w:t>
      </w:r>
      <w:r>
        <w:rPr>
          <w:b/>
        </w:rPr>
        <w:t>通过委托行间接服务委托行的终端客户</w:t>
      </w:r>
      <w:r>
        <w:t>，而不是指交易可以匿名或无需识别相关主体。</w:t>
      </w:r>
    </w:p>
    <w:p>
      <w:pPr>
        <w:spacing w:line="360" w:lineRule="auto" w:after="40"/>
      </w:pPr>
      <w:r>
        <w:t>代理行关系风险较高的关键在于这种间接性：代理行通常没有核实委托行终端客户的身份，也没有关于这些客户的第一手资料，并且可能无法对终端客户开展通常的尽职调查</w:t>
      </w:r>
      <w:r>
        <w:rPr>
          <w:sz w:val="15"/>
          <w:vertAlign w:val="superscript"/>
        </w:rPr>
        <w:t>P83</w:t>
      </w:r>
      <w:r>
        <w:t>。因此，在本题所指的典型场景中，跨境交易与代表委托行客户办理业务共同造成了距离较远、信息不足和客户控制依赖等风险，D是四项中最符合教材的选项。不过，教材也明确承认存在非外国代理行关系，所以D应理解为考试所概括的典型风险场景，不能扩展为所有代理行关系都必然跨境。</w:t>
      </w:r>
    </w:p>
    <w:p>
      <w:pPr>
        <w:spacing w:line="360" w:lineRule="auto" w:after="40"/>
      </w:pPr>
      <w:r>
        <w:rPr>
          <w:b/>
          <w:shd w:fill="D6E4F0" w:val="clear"/>
        </w:rPr>
        <w:t>教材原句：</w:t>
      </w:r>
    </w:p>
    <w:p>
      <w:pPr>
        <w:spacing w:line="360" w:lineRule="auto" w:after="40"/>
      </w:pPr>
      <w:r>
        <w:t>"Correspondent banking is typically when one bank acts as the agent of another bank in a foreign country."；"By establishing multiple correspondent relationships, a local bank can undertake international financial transactions for themselves and for their customers in jurisdictions where they have no physical presence."</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高风险司法管辖区只是代理行面临的潜在风险因素之一，并非代理行交易本身的构成特征。教材对代理行高风险的直接解释是间接关系和代表第三方处理交易，而非交易主要发生在高风险司法管辖区，因此D更直接匹配题干所问的“因为代理银行交易……”。</w:t>
      </w:r>
    </w:p>
    <w:p>
      <w:pPr>
        <w:spacing w:line="360" w:lineRule="auto" w:after="40"/>
      </w:pPr>
      <w:r>
        <w:rPr>
          <w:b/>
          <w:shd w:fill="D6E4F0" w:val="clear"/>
        </w:rPr>
        <w:t>B项错误：</w:t>
      </w:r>
    </w:p>
    <w:p>
      <w:pPr>
        <w:spacing w:line="360" w:lineRule="auto" w:after="40"/>
      </w:pPr>
      <w:r>
        <w:t>教材说代理行没有直接核实或直接了解委托行的终端客户，并可能无法对这些客户开展通常的尽职调查</w:t>
      </w:r>
      <w:r>
        <w:rPr>
          <w:sz w:val="15"/>
          <w:vertAlign w:val="superscript"/>
        </w:rPr>
        <w:t>P83</w:t>
      </w:r>
      <w:r>
        <w:t>。这说明代理行依赖委托行的客户控制，并不意味着交易制度上允许匿名，或可以不提供受益所有权信息。B把“代理行缺少第一手客户资料”扩大成了“无需识别相关主体”。</w:t>
      </w:r>
    </w:p>
    <w:p>
      <w:pPr>
        <w:spacing w:line="360" w:lineRule="auto" w:after="40"/>
      </w:pPr>
      <w:r>
        <w:rPr>
          <w:b/>
          <w:shd w:fill="D6E4F0" w:val="clear"/>
        </w:rPr>
        <w:t>C项错误：</w:t>
      </w:r>
    </w:p>
    <w:p>
      <w:pPr>
        <w:spacing w:line="360" w:lineRule="auto" w:after="40"/>
      </w:pPr>
      <w:r>
        <w:t>教材指出代理行可能缺少委托行的交易数据，导致交易监控难以识别异常模式</w:t>
      </w:r>
      <w:r>
        <w:rPr>
          <w:sz w:val="15"/>
          <w:vertAlign w:val="superscript"/>
        </w:rPr>
        <w:t>P84</w:t>
      </w:r>
      <w:r>
        <w:t>；它没有比较代理行支付与国内支付各自包含的信息量，更没有说代理行交易通常包含更少信息。C把“代理行未掌握委托行数据”改写成了“单笔支付信息较少”。</w:t>
      </w:r>
    </w:p>
    <w:p>
      <w:pPr>
        <w:spacing w:line="360" w:lineRule="auto" w:after="40"/>
      </w:pPr>
      <w:r>
        <w:rPr>
          <w:b/>
          <w:shd w:fill="D6E4F0" w:val="clear"/>
        </w:rPr>
        <w:t>易错提醒：</w:t>
      </w:r>
    </w:p>
    <w:p>
      <w:pPr>
        <w:spacing w:line="360" w:lineRule="auto" w:after="40"/>
      </w:pPr>
      <w:r>
        <w:t>教材使用的是“通常”（typically），并且明确说明也存在非外国代理行关系。因此，跨境是代理行业务的典型场景，不是无例外的定义。“代表第三方”则是指代理行可能间接服务委托行的客户，由此产生终端客户尽调、交易数据和控制依赖方面的风险，不等于交易可以匿名进行。</w:t>
      </w:r>
    </w:p>
    <w:p>
      <w:pPr>
        <w:spacing w:line="360" w:lineRule="auto" w:after="120"/>
      </w:pPr>
      <w:r/>
    </w:p>
    <w:p>
      <w:pPr>
        <w:spacing w:line="360" w:lineRule="auto" w:after="40"/>
      </w:pPr>
      <w:r>
        <w:t>4. 不寻常的电汇交易可能包括:（选择两项。）</w:t>
      </w:r>
    </w:p>
    <w:p>
      <w:pPr>
        <w:spacing w:line="360" w:lineRule="auto" w:after="20"/>
      </w:pPr>
      <w:r>
        <w:t>A.同一客户在不同银行开设的账户之间以不同货币进行的电汇.</w:t>
      </w:r>
    </w:p>
    <w:p>
      <w:pPr>
        <w:spacing w:line="360" w:lineRule="auto" w:after="20"/>
      </w:pPr>
      <w:r>
        <w:t>B.一笔汇入的第三方电汇,随后以客户名义购买房产.</w:t>
      </w:r>
    </w:p>
    <w:p>
      <w:pPr>
        <w:spacing w:line="360" w:lineRule="auto" w:after="20"/>
      </w:pPr>
      <w:r>
        <w:t>C.一笔汇入的电汇,随后将贷款支付给与客户有业务往来的第三方.</w:t>
      </w:r>
    </w:p>
    <w:p>
      <w:pPr>
        <w:spacing w:line="360" w:lineRule="auto" w:after="20"/>
      </w:pPr>
      <w:r>
        <w:t>D.多次电汇至与客户相关的交易对手方,相关方信息依据客户尽职调查文件.</w:t>
      </w:r>
    </w:p>
    <w:p>
      <w:pPr>
        <w:spacing w:line="360" w:lineRule="auto" w:after="40"/>
      </w:pPr>
      <w:r>
        <w:t>答案:A、B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识别异常电汇模式及后续资金流向风险</w:t>
      </w:r>
    </w:p>
    <w:p>
      <w:pPr>
        <w:spacing w:line="360" w:lineRule="auto" w:after="40"/>
      </w:pPr>
      <w:r>
        <w:rPr>
          <w:b/>
          <w:shd w:fill="D6E4F0" w:val="clear"/>
        </w:rPr>
        <w:t>核心解析：</w:t>
      </w:r>
    </w:p>
    <w:p>
      <w:pPr>
        <w:spacing w:line="360" w:lineRule="auto" w:after="40"/>
      </w:pPr>
      <w:r>
        <w:t>教材指出，异常电汇活动包括涉及复杂交易路径、异常交易数量或金额等情形</w:t>
      </w:r>
      <w:r>
        <w:rPr>
          <w:sz w:val="15"/>
          <w:vertAlign w:val="superscript"/>
        </w:rPr>
        <w:t>P79</w:t>
      </w:r>
      <w:r>
        <w:t>。同时，房地产行业因高价值资产和交易属性，天生容易被用于洗钱，使非法资金融入合法经济</w:t>
      </w:r>
      <w:r>
        <w:rPr>
          <w:sz w:val="15"/>
          <w:vertAlign w:val="superscript"/>
        </w:rPr>
        <w:t>P121</w:t>
      </w:r>
      <w:r>
        <w:t>。选项A中，同一客户用不同货币在不同银行账户间转移资金，人为增加了</w:t>
      </w:r>
      <w:r>
        <w:rPr>
          <w:b/>
        </w:rPr>
        <w:t>交易路径的复杂性</w:t>
      </w:r>
      <w:r>
        <w:t>，没有明晰的商业目的，直接吻合教材对异常电汇活动的描述。选项B中，由第三方汇入资金后立即以客户名义购买房地产，这种“第三方付款+购买高价值资产”的模式正是教材描述的典型洗钱手法，资金源头与资产受益人分离，将不明资金转为客户名下合法资产。由此可推断，A和B直接体现了教材界定的电汇及资产购置中的异常风险。</w:t>
      </w:r>
    </w:p>
    <w:p>
      <w:pPr>
        <w:spacing w:line="360" w:lineRule="auto" w:after="40"/>
      </w:pPr>
      <w:r>
        <w:rPr>
          <w:b/>
          <w:shd w:fill="D6E4F0" w:val="clear"/>
        </w:rPr>
        <w:t>教材原句：</w:t>
      </w:r>
    </w:p>
    <w:p>
      <w:pPr>
        <w:spacing w:line="360" w:lineRule="auto" w:after="40"/>
      </w:pPr>
      <w:r>
        <w:t>"Unusual wire transfer activity including: Complex transaction paths."</w:t>
      </w:r>
      <w:r>
        <w:rPr>
          <w:sz w:val="15"/>
          <w:vertAlign w:val="superscript"/>
        </w:rPr>
        <w:t>P79</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教材在讨论贸易型洗钱风险时提到，第三方指令会增加资金追踪的复杂性。但题干C描述的是将汇入资金用于偿还对生意伙伴的贷款，这本身就有一个明确的、可理解的商业目的，相较于A和B中体现的无理由复杂性或匿名资产购置，其异常程度要低得多，更可能被视为一种常规的商业支付，而非不寻常的洗钱信号。</w:t>
      </w:r>
    </w:p>
    <w:p>
      <w:pPr>
        <w:spacing w:line="360" w:lineRule="auto" w:after="40"/>
      </w:pPr>
      <w:r>
        <w:rPr>
          <w:b/>
          <w:shd w:fill="D6E4F0" w:val="clear"/>
        </w:rPr>
        <w:t>D项错误：</w:t>
      </w:r>
    </w:p>
    <w:p>
      <w:pPr>
        <w:spacing w:line="360" w:lineRule="auto" w:after="40"/>
      </w:pPr>
      <w:r>
        <w:t>教材将加强的客户尽职调查（CDD）和持续的交易监控列为检测和预防洗钱的核心手段</w:t>
      </w:r>
      <w:r>
        <w:rPr>
          <w:sz w:val="15"/>
          <w:vertAlign w:val="superscript"/>
        </w:rPr>
        <w:t>P57</w:t>
      </w:r>
      <w:r>
        <w:t>。选项D明确指出电汇对手信息是“依据客户尽职调查文件”的，这表明该交易模式与客户在开户时已披露、并被金融机构认可的已知风险画像相符。在已做好尽调的前提下，这种行为属于有合理解释的预期内活动，其异常程度不如A和B中出现的模式。</w:t>
      </w:r>
    </w:p>
    <w:p>
      <w:pPr>
        <w:spacing w:line="360" w:lineRule="auto" w:after="40"/>
      </w:pPr>
      <w:r>
        <w:rPr>
          <w:b/>
          <w:shd w:fill="D6E4F0" w:val="clear"/>
        </w:rPr>
        <w:t>易错提醒：</w:t>
      </w:r>
    </w:p>
    <w:p>
      <w:pPr>
        <w:spacing w:line="360" w:lineRule="auto" w:after="40"/>
      </w:pPr>
      <w:r>
        <w:t>注意区分“与已知资料不符的异常”和“与已知资料符合的正常”。符合CDD文件的交易属于客户画像内的预期行为，不应判定为异常；而异常交易的特征恰恰在于它无法被现有CDD资料解释，如购买与收入不符的房产或在没有商业目的情况下通过不同货币/银行周游资金</w:t>
      </w:r>
      <w:r>
        <w:rPr>
          <w:sz w:val="15"/>
          <w:vertAlign w:val="superscript"/>
        </w:rPr>
        <w:t>P79</w:t>
      </w:r>
      <w:r>
        <w:t>。</w:t>
      </w:r>
    </w:p>
    <w:p>
      <w:pPr>
        <w:spacing w:line="360" w:lineRule="auto" w:after="120"/>
      </w:pPr>
      <w:r/>
    </w:p>
    <w:p>
      <w:pPr>
        <w:spacing w:line="360" w:lineRule="auto" w:after="40"/>
      </w:pPr>
      <w:r>
        <w:t>5. 一家依据外国法律成立且位于美国境外的银行与一家美国银行保持着代理行关系,为其客户处理美元金融交易.根据2001年《美国爱国者法案》,所有美国银行和证券经纪自营商必须从与其开展业务的所有非美国外国银行客户那里获取一份签字确认书.2001年《美国爱国者法案》要求外国银行向美国银行证明哪些信息？（选择三项。）</w:t>
      </w:r>
    </w:p>
    <w:p>
      <w:pPr>
        <w:spacing w:line="360" w:lineRule="auto" w:after="20"/>
      </w:pPr>
      <w:r>
        <w:t>A.外国银行不允许政治公众人物(PEP)间接使用代理银行账户.</w:t>
      </w:r>
    </w:p>
    <w:p>
      <w:pPr>
        <w:spacing w:line="360" w:lineRule="auto" w:after="20"/>
      </w:pPr>
      <w:r>
        <w:t>B.外国银行设有实体机构的司法管辖区</w:t>
      </w:r>
    </w:p>
    <w:p>
      <w:pPr>
        <w:spacing w:line="360" w:lineRule="auto" w:after="20"/>
      </w:pPr>
      <w:r>
        <w:t>C.外国银行的业务将仅限于其注册所在国.</w:t>
      </w:r>
    </w:p>
    <w:p>
      <w:pPr>
        <w:spacing w:line="360" w:lineRule="auto" w:after="20"/>
      </w:pPr>
      <w:r>
        <w:t>D.外国银行的所有权详情</w:t>
      </w:r>
    </w:p>
    <w:p>
      <w:pPr>
        <w:spacing w:line="360" w:lineRule="auto" w:after="20"/>
      </w:pPr>
      <w:r>
        <w:t>E.外国银行不允许空壳银行间接使用代理银行账户。</w:t>
      </w:r>
    </w:p>
    <w:p>
      <w:pPr>
        <w:spacing w:line="360" w:lineRule="auto" w:after="40"/>
      </w:pPr>
      <w:r>
        <w:t>答案:B、D、E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代理行客户的实体存在、所有权及空壳银行风险要求</w:t>
      </w:r>
    </w:p>
    <w:p>
      <w:pPr>
        <w:spacing w:line="360" w:lineRule="auto" w:after="40"/>
      </w:pPr>
      <w:r>
        <w:rPr>
          <w:b/>
          <w:shd w:fill="D6E4F0" w:val="clear"/>
        </w:rPr>
        <w:t>核心解析：</w:t>
      </w:r>
    </w:p>
    <w:p>
      <w:pPr>
        <w:spacing w:line="360" w:lineRule="auto" w:after="40"/>
      </w:pPr>
      <w:r>
        <w:t>代理行尽职调查要确认外国金融机构的</w:t>
      </w:r>
      <w:r>
        <w:rPr>
          <w:b/>
        </w:rPr>
        <w:t>身份、经营范围和控制结构</w:t>
      </w:r>
      <w:r>
        <w:t>。教材说明，代理行关系可以让银行在没有实体存在的司法管辖区开展交易</w:t>
      </w:r>
      <w:r>
        <w:rPr>
          <w:sz w:val="15"/>
          <w:vertAlign w:val="superscript"/>
        </w:rPr>
        <w:t>P83</w:t>
      </w:r>
      <w:r>
        <w:t>，因此确认外国银行在哪些司法管辖区设有实体机构，有助于判断其真实经营范围和监管基础，B项与这一尽调维度匹配。教材还要求在建立代理行关系前了解委托行的所有者及其监管监督性质，所以D项的所有权详情属于应核实的信息</w:t>
      </w:r>
      <w:r>
        <w:rPr>
          <w:sz w:val="15"/>
          <w:vertAlign w:val="superscript"/>
        </w:rPr>
        <w:t>P83</w:t>
      </w:r>
      <w:r>
        <w:t>。对于E项，教材对《美国爱国者法案》第313条的概括是禁止与空壳银行建立关系；第312条同时要求对外国金融机构的代理账户实施强化尽职调查</w:t>
      </w:r>
      <w:r>
        <w:rPr>
          <w:sz w:val="15"/>
          <w:vertAlign w:val="superscript"/>
        </w:rPr>
        <w:t>P181</w:t>
      </w:r>
      <w:r>
        <w:t>。因此，在题干要求选择三项时，B、D、E分别对应实体存在、所有权和空壳银行禁令三个要求。</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教材确实讨论PEP识别和相关风险，但本题所引的代理行认证要求聚焦外国金融机构的实体存在、所有权及空壳银行关系</w:t>
      </w:r>
      <w:r>
        <w:rPr>
          <w:sz w:val="15"/>
          <w:vertAlign w:val="superscript"/>
        </w:rPr>
        <w:t>P83、P181</w:t>
      </w:r>
      <w:r>
        <w:t>。不能用一般PEP风险识别内容替代题干要求的代理行认证事项。</w:t>
      </w:r>
    </w:p>
    <w:p>
      <w:pPr>
        <w:spacing w:line="360" w:lineRule="auto" w:after="40"/>
      </w:pPr>
      <w:r>
        <w:rPr>
          <w:b/>
          <w:shd w:fill="D6E4F0" w:val="clear"/>
        </w:rPr>
        <w:t>C项错误：</w:t>
      </w:r>
    </w:p>
    <w:p>
      <w:pPr>
        <w:spacing w:line="360" w:lineRule="auto" w:after="40"/>
      </w:pPr>
      <w:r>
        <w:t>教材将代理行描述为可使银行在没有实体存在的司法管辖区开展交易</w:t>
      </w:r>
      <w:r>
        <w:rPr>
          <w:sz w:val="15"/>
          <w:vertAlign w:val="superscript"/>
        </w:rPr>
        <w:t>P83</w:t>
      </w:r>
      <w:r>
        <w:t>，这与“业务仅限于注册所在国”相反；C把注册国家误作业务范围限制，超出了教材支持的结论。</w:t>
      </w:r>
    </w:p>
    <w:p>
      <w:pPr>
        <w:spacing w:line="360" w:lineRule="auto" w:after="40"/>
      </w:pPr>
      <w:r>
        <w:rPr>
          <w:b/>
          <w:shd w:fill="D6E4F0" w:val="clear"/>
        </w:rPr>
        <w:t>易错提醒：</w:t>
      </w:r>
    </w:p>
    <w:p>
      <w:pPr>
        <w:spacing w:line="360" w:lineRule="auto" w:after="40"/>
      </w:pPr>
      <w:r>
        <w:t>“注册所在国”是机构身份信息，不等于业务只能在该国开展；代理行关系本身涉及跨境交易</w:t>
      </w:r>
      <w:r>
        <w:rPr>
          <w:sz w:val="15"/>
          <w:vertAlign w:val="superscript"/>
        </w:rPr>
        <w:t>P83</w:t>
      </w:r>
      <w:r>
        <w:t>。遇到空壳银行选项时，应区分一般PEP风险管理和《爱国者法案》第313条的明确禁令</w:t>
      </w:r>
      <w:r>
        <w:rPr>
          <w:sz w:val="15"/>
          <w:vertAlign w:val="superscript"/>
        </w:rPr>
        <w:t>P181</w:t>
      </w:r>
      <w:r>
        <w:t>。</w:t>
      </w:r>
    </w:p>
    <w:p>
      <w:pPr>
        <w:spacing w:line="360" w:lineRule="auto" w:after="120"/>
      </w:pPr>
      <w:r/>
    </w:p>
    <w:p>
      <w:pPr>
        <w:spacing w:line="360" w:lineRule="auto" w:after="40"/>
      </w:pPr>
      <w:r>
        <w:t>6. 一家国际银行正在调查其一家代理行提出的一笔付款请求,该请求在自动交易监控系统中触发了警报.这笔付款的发起方是一家位于香港的公司,最终收款人是一位位于纽约的个人.银行应首先采取哪些步骤来处理该警报？（选择三项。）</w:t>
      </w:r>
    </w:p>
    <w:p>
      <w:pPr>
        <w:spacing w:line="360" w:lineRule="auto" w:after="20"/>
      </w:pPr>
      <w:r>
        <w:t>A.向该公司在香港的银行发出314(b)请求</w:t>
      </w:r>
    </w:p>
    <w:p>
      <w:pPr>
        <w:spacing w:line="360" w:lineRule="auto" w:after="20"/>
      </w:pPr>
      <w:r>
        <w:t>B.与收款人联系以核实身份证明文件</w:t>
      </w:r>
    </w:p>
    <w:p>
      <w:pPr>
        <w:spacing w:line="360" w:lineRule="auto" w:after="20"/>
      </w:pPr>
      <w:r>
        <w:t>C.确认收款人和发起人均非受制裁方</w:t>
      </w:r>
    </w:p>
    <w:p>
      <w:pPr>
        <w:spacing w:line="360" w:lineRule="auto" w:after="20"/>
      </w:pPr>
      <w:r>
        <w:t>D.要求提供相关证明文件,包括发票和合同,以确认付款用途</w:t>
      </w:r>
    </w:p>
    <w:p>
      <w:pPr>
        <w:spacing w:line="360" w:lineRule="auto" w:after="20"/>
      </w:pPr>
      <w:r>
        <w:t>E.通过公开来源核查汇款人和收款人的负面媒体信息</w:t>
      </w:r>
    </w:p>
    <w:p>
      <w:pPr>
        <w:spacing w:line="360" w:lineRule="auto" w:after="40"/>
      </w:pPr>
      <w:r>
        <w:t>答案:C、D、E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电汇警报调查的优先步骤：制裁筛查、负面媒体审查、交易文件核实</w:t>
      </w:r>
    </w:p>
    <w:p>
      <w:pPr>
        <w:spacing w:line="360" w:lineRule="auto" w:after="40"/>
      </w:pPr>
      <w:r>
        <w:rPr>
          <w:b/>
          <w:shd w:fill="D6E4F0" w:val="clear"/>
        </w:rPr>
        <w:t>核心解析：</w:t>
      </w:r>
    </w:p>
    <w:p>
      <w:pPr>
        <w:spacing w:line="360" w:lineRule="auto" w:after="40"/>
      </w:pPr>
      <w:r>
        <w:t>教材将</w:t>
      </w:r>
      <w:r>
        <w:rPr>
          <w:b/>
        </w:rPr>
        <w:t>一级警报审查</w:t>
      </w:r>
      <w:r>
        <w:t>定义为核验警报有效性的初始阶段；若进入调查，应评估资金来源和去向、收集额外记录，并开展包括新闻和公共记录在内的</w:t>
      </w:r>
      <w:r>
        <w:rPr>
          <w:b/>
        </w:rPr>
        <w:t>开源研究</w:t>
      </w:r>
      <w:r>
        <w:rPr>
          <w:sz w:val="15"/>
          <w:vertAlign w:val="superscript"/>
        </w:rPr>
        <w:t>P334</w:t>
      </w:r>
      <w:r>
        <w:t>。据此，银行首先应确认发起人和收款人均非受制裁方（C）</w:t>
      </w:r>
      <w:r>
        <w:rPr>
          <w:sz w:val="15"/>
          <w:vertAlign w:val="superscript"/>
        </w:rPr>
        <w:t>P78、P343</w:t>
      </w:r>
      <w:r>
        <w:t>，要求发票、合同等支持文件核实付款用途（D）</w:t>
      </w:r>
      <w:r>
        <w:rPr>
          <w:sz w:val="15"/>
          <w:vertAlign w:val="superscript"/>
        </w:rPr>
        <w:t>P334</w:t>
      </w:r>
      <w:r>
        <w:t>，并通过公开来源检查双方负面媒体（E）</w:t>
      </w:r>
      <w:r>
        <w:rPr>
          <w:sz w:val="15"/>
          <w:vertAlign w:val="superscript"/>
        </w:rPr>
        <w:t>P322、P334</w:t>
      </w:r>
      <w:r>
        <w:t>。这三项都属于先利用内部资料、交易文件和外部公开信息验证警报的动作。</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314(b)属于机构间信息共享机制，不是处理每一笔警报时当然优先于内部资料、支持文件和公开信息审查的第一步；且题干未说明香港银行属于可适用该机制的参与机构。</w:t>
      </w:r>
    </w:p>
    <w:p>
      <w:pPr>
        <w:spacing w:line="360" w:lineRule="auto" w:after="40"/>
      </w:pPr>
      <w:r>
        <w:rPr>
          <w:b/>
          <w:shd w:fill="D6E4F0" w:val="clear"/>
        </w:rPr>
        <w:t>B项错误：</w:t>
      </w:r>
    </w:p>
    <w:p>
      <w:pPr>
        <w:spacing w:line="360" w:lineRule="auto" w:after="40"/>
      </w:pPr>
      <w:r>
        <w:t>题干关注的是付款警报，不是收款人的开户身份核验。直接联系收款人复核身份证件不能优先解释付款目的和交易背景。</w:t>
      </w:r>
    </w:p>
    <w:p>
      <w:pPr>
        <w:spacing w:line="360" w:lineRule="auto" w:after="40"/>
      </w:pPr>
      <w:r>
        <w:rPr>
          <w:b/>
          <w:shd w:fill="D6E4F0" w:val="clear"/>
        </w:rPr>
        <w:t>易错提醒：</w:t>
      </w:r>
    </w:p>
    <w:p>
      <w:pPr>
        <w:spacing w:line="360" w:lineRule="auto" w:after="40"/>
      </w:pPr>
      <w:r>
        <w:t>题目问“首先”采取的步骤，应优先选择能直接验证交易主体、目的和风险背景的内部或非接触式调查措施</w:t>
      </w:r>
      <w:r>
        <w:rPr>
          <w:sz w:val="15"/>
          <w:vertAlign w:val="superscript"/>
        </w:rPr>
        <w:t>P322、P334、P343</w:t>
      </w:r>
      <w:r>
        <w:t>，而不是立即联系收款人或启动跨机构信息共享。</w:t>
      </w:r>
    </w:p>
    <w:p>
      <w:pPr>
        <w:spacing w:line="360" w:lineRule="auto" w:after="120"/>
      </w:pPr>
      <w:r/>
    </w:p>
    <w:p>
      <w:pPr>
        <w:spacing w:line="360" w:lineRule="auto" w:after="40"/>
      </w:pPr>
      <w:r>
        <w:t>7. 在审查货币服务企业（MSB）的业务运营时，哪些活动会被视为洗钱的警示信号？（选择两项。）</w:t>
      </w:r>
    </w:p>
    <w:p>
      <w:pPr>
        <w:spacing w:line="360" w:lineRule="auto" w:after="20"/>
      </w:pPr>
      <w:r>
        <w:t>A.客户在办理国际电汇时，对提供受益人姓名或地址信息犹豫不决。</w:t>
      </w:r>
    </w:p>
    <w:p>
      <w:pPr>
        <w:spacing w:line="360" w:lineRule="auto" w:after="20"/>
      </w:pPr>
      <w:r>
        <w:t>B.现金密集型企业，例如便利店或餐馆，进行大额现金存款。</w:t>
      </w:r>
    </w:p>
    <w:p>
      <w:pPr>
        <w:spacing w:line="360" w:lineRule="auto" w:after="20"/>
      </w:pPr>
      <w:r>
        <w:t>C.一位客户将来自高风险司法管辖区的外币兑换为本币，兑换金额低于报告门槛。</w:t>
      </w:r>
    </w:p>
    <w:p>
      <w:pPr>
        <w:spacing w:line="360" w:lineRule="auto" w:after="20"/>
      </w:pPr>
      <w:r>
        <w:t>D.一位客户使用不同名称下的多个账户进行交易。</w:t>
      </w:r>
    </w:p>
    <w:p>
      <w:pPr>
        <w:spacing w:line="360" w:lineRule="auto" w:after="20"/>
      </w:pPr>
      <w:r>
        <w:t>E.一位客户经常向其本国汇出小额国际汇款。</w:t>
      </w:r>
    </w:p>
    <w:p>
      <w:pPr>
        <w:spacing w:line="360" w:lineRule="auto" w:after="40"/>
      </w:pPr>
      <w:r>
        <w:t>答案:A、D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MSB场景下隐瞒受益人信息和使用化名多账户</w:t>
      </w:r>
    </w:p>
    <w:p>
      <w:pPr>
        <w:spacing w:line="360" w:lineRule="auto" w:after="40"/>
      </w:pPr>
      <w:r>
        <w:rPr>
          <w:b/>
          <w:shd w:fill="D6E4F0" w:val="clear"/>
        </w:rPr>
        <w:t>核心解析：</w:t>
      </w:r>
    </w:p>
    <w:p>
      <w:pPr>
        <w:spacing w:line="360" w:lineRule="auto" w:after="40"/>
      </w:pPr>
      <w:r>
        <w:t>判断洗钱警示信号需结合业务场景与客户画像。题干审查对象是货币服务企业（MSB），教材将</w:t>
      </w:r>
      <w:r>
        <w:rPr>
          <w:b/>
        </w:rPr>
        <w:t>隐瞒信息</w:t>
      </w:r>
      <w:r>
        <w:t>（如不提供充分的受益人信息）列为电汇风险指标</w:t>
      </w:r>
      <w:r>
        <w:rPr>
          <w:sz w:val="15"/>
          <w:vertAlign w:val="superscript"/>
        </w:rPr>
        <w:t>P79</w:t>
      </w:r>
      <w:r>
        <w:t>。选项A中客户办理国际电汇时“对提供受益人姓名或地址信息犹豫不决”，直接匹配这一隐瞒行为。同时，教材在洗钱常用技术中明确指出</w:t>
      </w:r>
      <w:r>
        <w:rPr>
          <w:b/>
        </w:rPr>
        <w:t>“犯罪分子利用多个账户、金融机构和中间人逃避监控”</w:t>
      </w:r>
      <w:r>
        <w:rPr>
          <w:sz w:val="15"/>
          <w:vertAlign w:val="superscript"/>
        </w:rPr>
        <w:t>P17</w:t>
      </w:r>
      <w:r>
        <w:t>。选项D中客户“使用不同名称下的多个账户进行交易”，正吻合利用多账户逃避监控的手法。两项行为均在教材中被明确记载为与洗钱相关的异常信号，且在MSB场景下直接适用。</w:t>
      </w:r>
    </w:p>
    <w:p>
      <w:pPr>
        <w:spacing w:line="360" w:lineRule="auto" w:after="40"/>
      </w:pPr>
      <w:r>
        <w:rPr>
          <w:b/>
          <w:shd w:fill="D6E4F0" w:val="clear"/>
        </w:rPr>
        <w:t>教材原句：</w:t>
      </w:r>
    </w:p>
    <w:p>
      <w:pPr>
        <w:spacing w:line="360" w:lineRule="auto" w:after="40"/>
      </w:pPr>
      <w:r>
        <w:t>"Concealing information, such as not providing adequate beneficiary information"</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便利店和餐馆等现金密集型企业出现大额现金存款，可能与其业务画像和预期交易模式一致。若没有金额、频率或资金来源等额外异常，仅凭现金存款不能直接认定为洗钱警示信号。</w:t>
      </w:r>
    </w:p>
    <w:p>
      <w:pPr>
        <w:spacing w:line="360" w:lineRule="auto" w:after="40"/>
      </w:pPr>
      <w:r>
        <w:rPr>
          <w:b/>
          <w:shd w:fill="D6E4F0" w:val="clear"/>
        </w:rPr>
        <w:t>C项错误：</w:t>
      </w:r>
    </w:p>
    <w:p>
      <w:pPr>
        <w:spacing w:line="360" w:lineRule="auto" w:after="40"/>
      </w:pPr>
      <w:r>
        <w:t>低于报告门槛可能与结构化交易有关，但通常还需反复拆分、累计金额较大或刻意规避报告等行为模式。C只给出一次低于门槛的货币兑换及来源地风险，异常性不如A、D直接。</w:t>
      </w:r>
    </w:p>
    <w:p>
      <w:pPr>
        <w:spacing w:line="360" w:lineRule="auto" w:after="40"/>
      </w:pPr>
      <w:r>
        <w:rPr>
          <w:b/>
          <w:shd w:fill="D6E4F0" w:val="clear"/>
        </w:rPr>
        <w:t>E项错误：</w:t>
      </w:r>
    </w:p>
    <w:p>
      <w:pPr>
        <w:spacing w:line="360" w:lineRule="auto" w:after="40"/>
      </w:pPr>
      <w:r>
        <w:t>频繁向本国汇出小额款项可能符合外籍务工人员等客群的正常汇款需求；若没有伪造文件、身份隐瞒、异常资金来源或刻意拆分等附加事实，单凭频率和小额特征不足以认定为洗钱警示信号。</w:t>
      </w:r>
    </w:p>
    <w:p>
      <w:pPr>
        <w:spacing w:line="360" w:lineRule="auto" w:after="40"/>
      </w:pPr>
      <w:r>
        <w:rPr>
          <w:b/>
          <w:shd w:fill="D6E4F0" w:val="clear"/>
        </w:rPr>
        <w:t>易错提醒：</w:t>
      </w:r>
    </w:p>
    <w:p>
      <w:pPr>
        <w:spacing w:line="360" w:lineRule="auto" w:after="40"/>
      </w:pPr>
      <w:r>
        <w:t>区分“正常业务行为”与“警示信号”的关键在于是否与客户画像匹配。现金密集型企业的大额现金存款是其业务常态，不是信号；但若一位受薪专业人士频繁存入现金，则构成反常</w:t>
      </w:r>
      <w:r>
        <w:rPr>
          <w:sz w:val="15"/>
          <w:vertAlign w:val="superscript"/>
        </w:rPr>
        <w:t>P444</w:t>
      </w:r>
      <w:r>
        <w:t>。同样，外籍人士的跨境汇款本身不是信号，除非伴随拆分金额、使用化名账户或隐瞒信息等附属行为</w:t>
      </w:r>
      <w:r>
        <w:rPr>
          <w:sz w:val="15"/>
          <w:vertAlign w:val="superscript"/>
        </w:rPr>
        <w:t>P79</w:t>
      </w:r>
      <w:r>
        <w:t>。</w:t>
      </w:r>
    </w:p>
    <w:p>
      <w:pPr>
        <w:spacing w:line="360" w:lineRule="auto" w:after="120"/>
      </w:pPr>
      <w:r/>
    </w:p>
    <w:p>
      <w:pPr>
        <w:spacing w:line="360" w:lineRule="auto" w:after="40"/>
      </w:pPr>
      <w:r>
        <w:t>8. 与贸易融资客户相关的常见风险和警示信号可能包括:(选择四项.)</w:t>
      </w:r>
    </w:p>
    <w:p>
      <w:pPr>
        <w:spacing w:line="360" w:lineRule="auto" w:after="20"/>
      </w:pPr>
      <w:r>
        <w:t>A.与账户用途不符的账户活动</w:t>
      </w:r>
    </w:p>
    <w:p>
      <w:pPr>
        <w:spacing w:line="360" w:lineRule="auto" w:after="20"/>
      </w:pPr>
      <w:r>
        <w:t>B.与货物描述、数量和价值相符且转运详情合理的提单</w:t>
      </w:r>
    </w:p>
    <w:p>
      <w:pPr>
        <w:spacing w:line="360" w:lineRule="auto" w:after="20"/>
      </w:pPr>
      <w:r>
        <w:t>C.看似不必要的复杂的交易结构</w:t>
      </w:r>
    </w:p>
    <w:p>
      <w:pPr>
        <w:spacing w:line="360" w:lineRule="auto" w:after="20"/>
      </w:pPr>
      <w:r>
        <w:t>D.贸易单据,例如发票和信用证,若其措辞不清晰或为外文书写</w:t>
      </w:r>
    </w:p>
    <w:p>
      <w:pPr>
        <w:spacing w:line="360" w:lineRule="auto" w:after="20"/>
      </w:pPr>
      <w:r>
        <w:t>E.价格远高于市场价格的发票</w:t>
      </w:r>
    </w:p>
    <w:p>
      <w:pPr>
        <w:spacing w:line="360" w:lineRule="auto" w:after="20"/>
      </w:pPr>
      <w:r>
        <w:t>F.标准商品和服务价格的波动</w:t>
      </w:r>
    </w:p>
    <w:p>
      <w:pPr>
        <w:spacing w:line="360" w:lineRule="auto" w:after="40"/>
      </w:pPr>
      <w:r>
        <w:t>答案:A、C、D、E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识别贸易融资场景下的</w:t>
      </w:r>
      <w:r>
        <w:rPr>
          <w:b/>
        </w:rPr>
        <w:t>洗钱风险指标与警示信号</w:t>
      </w:r>
    </w:p>
    <w:p>
      <w:pPr>
        <w:spacing w:line="360" w:lineRule="auto" w:after="40"/>
      </w:pPr>
      <w:r>
        <w:rPr>
          <w:b/>
          <w:shd w:fill="D6E4F0" w:val="clear"/>
        </w:rPr>
        <w:t>核心解析：</w:t>
      </w:r>
    </w:p>
    <w:p>
      <w:pPr>
        <w:spacing w:line="360" w:lineRule="auto" w:after="40"/>
      </w:pPr>
      <w:r>
        <w:t>贸易融资因交易的复杂性和全球性，易被用于洗钱，常见手法包括</w:t>
      </w:r>
      <w:r>
        <w:rPr>
          <w:b/>
        </w:rPr>
        <w:t>高/低开发票、重复开票和虚假货运</w:t>
      </w:r>
      <w:r>
        <w:rPr>
          <w:sz w:val="15"/>
          <w:vertAlign w:val="superscript"/>
        </w:rPr>
        <w:t>P81</w:t>
      </w:r>
      <w:r>
        <w:t>。基于此，判断贸易融资客户的风险和警示信号，核心是寻找</w:t>
      </w:r>
      <w:r>
        <w:rPr>
          <w:b/>
        </w:rPr>
        <w:t>与正常贸易逻辑不符的异常点</w:t>
      </w:r>
      <w:r>
        <w:t>。选项A“与账户用途不符的账户活动”属于交易行为偏离预期模式，是交易监控中的通用且关键的风险指标</w:t>
      </w:r>
      <w:r>
        <w:rPr>
          <w:sz w:val="15"/>
          <w:vertAlign w:val="superscript"/>
        </w:rPr>
        <w:t>P307</w:t>
      </w:r>
      <w:r>
        <w:t>。选项C“看似不必要的复杂的交易结构”直接对应洗钱过程中的复杂交易分层，用于掩盖资金踪迹</w:t>
      </w:r>
      <w:r>
        <w:rPr>
          <w:sz w:val="15"/>
          <w:vertAlign w:val="superscript"/>
        </w:rPr>
        <w:t>P343</w:t>
      </w:r>
      <w:r>
        <w:t>。选项D“贸易单据措辞不清晰或为外文书写”会增加透明度障碍，与教材警示的汇票可被操纵以“掩盖交易真实性质”</w:t>
      </w:r>
      <w:r>
        <w:rPr>
          <w:sz w:val="15"/>
          <w:vertAlign w:val="superscript"/>
        </w:rPr>
        <w:t>P66</w:t>
      </w:r>
      <w:r>
        <w:t>的风险方向一致。选项E“价格远高于市场价格的发票”则是“高开发票”（over-invoicing）这一具体洗钱手法的直接体现</w:t>
      </w:r>
      <w:r>
        <w:rPr>
          <w:sz w:val="15"/>
          <w:vertAlign w:val="superscript"/>
        </w:rPr>
        <w:t>P131</w:t>
      </w:r>
      <w:r>
        <w:t>。这四项均从不同角度指向了贸易活动中的反常特征，共同构成了一组典型的贸易融资洗钱风险画像。</w:t>
      </w:r>
    </w:p>
    <w:p>
      <w:pPr>
        <w:spacing w:line="360" w:lineRule="auto" w:after="40"/>
      </w:pPr>
      <w:r>
        <w:rPr>
          <w:b/>
          <w:shd w:fill="D6E4F0" w:val="clear"/>
        </w:rPr>
        <w:t>教材原句：</w:t>
      </w:r>
    </w:p>
    <w:p>
      <w:pPr>
        <w:spacing w:line="360" w:lineRule="auto" w:after="40"/>
      </w:pPr>
      <w:r>
        <w:t>"Money launderers can use trade finance to move funds across borders, often through over- or under-invoicing, multiple invoicing, and phantom shipments."</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教材强调的贸易洗钱风险点是单据与实际情况的“不匹配”或“虚构”（如幽灵运输、货物短装/超装，</w:t>
      </w:r>
      <w:r>
        <w:rPr>
          <w:sz w:val="15"/>
          <w:vertAlign w:val="superscript"/>
        </w:rPr>
        <w:t>P131</w:t>
      </w:r>
      <w:r>
        <w:t>）。选项B描述的“相符且合理”恰恰是正常、低风险的交易特征，与题干要求的“风险和警示信号”方向相悖。</w:t>
      </w:r>
    </w:p>
    <w:p>
      <w:pPr>
        <w:spacing w:line="360" w:lineRule="auto" w:after="40"/>
      </w:pPr>
      <w:r>
        <w:rPr>
          <w:b/>
          <w:shd w:fill="D6E4F0" w:val="clear"/>
        </w:rPr>
        <w:t>F项错误：</w:t>
      </w:r>
    </w:p>
    <w:p>
      <w:pPr>
        <w:spacing w:line="360" w:lineRule="auto" w:after="40"/>
      </w:pPr>
      <w:r>
        <w:t>商品价格因市场供需而产生的波动本身是正常的经济现象。教材中提及价格变动相关的风险时，均聚焦于人为操纵的“发票价格”与“市场价格”的背离（如高/低开发票），而非市场价格自身的一般性波动。因此，市场价格的波动不如发票价格的异常更直接地指向贸易洗钱风险。</w:t>
      </w:r>
    </w:p>
    <w:p>
      <w:pPr>
        <w:spacing w:line="360" w:lineRule="auto" w:after="120"/>
      </w:pPr>
      <w:r/>
    </w:p>
    <w:p>
      <w:pPr>
        <w:spacing w:line="360" w:lineRule="auto" w:after="40"/>
      </w:pPr>
      <w:r>
        <w:t>9. 对于由自动化监控系统警报触发的涉及多家企业的异常活动模式的复杂调查,哪种技术最为高效？（选择两项。）</w:t>
      </w:r>
    </w:p>
    <w:p>
      <w:pPr>
        <w:spacing w:line="360" w:lineRule="auto" w:after="20"/>
      </w:pPr>
      <w:r>
        <w:t>A.利用客户档案中现有的信息,对所涉及的企业进行控制权和所有权评估</w:t>
      </w:r>
    </w:p>
    <w:p>
      <w:pPr>
        <w:spacing w:line="360" w:lineRule="auto" w:after="20"/>
      </w:pPr>
      <w:r>
        <w:t>B.联系当地执法部门,请求他们协助进行分析和调查</w:t>
      </w:r>
    </w:p>
    <w:p>
      <w:pPr>
        <w:spacing w:line="360" w:lineRule="auto" w:after="20"/>
      </w:pPr>
      <w:r>
        <w:t>C.查看自动化监控系统警报描述中呈现的信息,并拒绝任何未来的交易.</w:t>
      </w:r>
    </w:p>
    <w:p>
      <w:pPr>
        <w:spacing w:line="360" w:lineRule="auto" w:after="20"/>
      </w:pPr>
      <w:r>
        <w:t>D.联系客户经理,询问反洗钱警报中所强调的活动模式背后的原因.</w:t>
      </w:r>
    </w:p>
    <w:p>
      <w:pPr>
        <w:spacing w:line="360" w:lineRule="auto" w:after="20"/>
      </w:pPr>
      <w:r>
        <w:t>E.利用社交媒体平台与相关企业取得联系,并请求提供账户活动的详细信息</w:t>
      </w:r>
    </w:p>
    <w:p>
      <w:pPr>
        <w:spacing w:line="360" w:lineRule="auto" w:after="40"/>
      </w:pPr>
      <w:r>
        <w:t>答案:A、D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复杂调查中，选择成本最低且信息密度最高的内部信息来源</w:t>
      </w:r>
    </w:p>
    <w:p>
      <w:pPr>
        <w:spacing w:line="360" w:lineRule="auto" w:after="40"/>
      </w:pPr>
      <w:r>
        <w:rPr>
          <w:b/>
          <w:shd w:fill="D6E4F0" w:val="clear"/>
        </w:rPr>
        <w:t>核心解析：</w:t>
      </w:r>
    </w:p>
    <w:p>
      <w:pPr>
        <w:spacing w:line="360" w:lineRule="auto" w:after="40"/>
      </w:pPr>
      <w:r>
        <w:t>针对“涉及多家企业异常活动”的复杂调查，高效技术的核心是用最小成本获取穿透复杂结构与企业实际行为的信息。</w:t>
      </w:r>
      <w:r>
        <w:rPr>
          <w:b/>
        </w:rPr>
        <w:t>控制权和所有权评估（A）</w:t>
      </w:r>
      <w:r>
        <w:t>通过现有客户档案即可实施——教材指出，控制权和所有权在反洗钱中至关重要，因为它们经常被掩盖，使不法分子能伪装犯罪活动并便利金融犯罪</w:t>
      </w:r>
      <w:r>
        <w:rPr>
          <w:sz w:val="15"/>
          <w:vertAlign w:val="superscript"/>
        </w:rPr>
        <w:t>P59</w:t>
      </w:r>
      <w:r>
        <w:t>；涉及多层公司的复杂所有权结构本身就是红旗信号</w:t>
      </w:r>
      <w:r>
        <w:rPr>
          <w:sz w:val="15"/>
          <w:vertAlign w:val="superscript"/>
        </w:rPr>
        <w:t>P76</w:t>
      </w:r>
      <w:r>
        <w:t>。既然警报已由系统触发，调查员无需额外外部授权即可利用档案完成穿透分析。</w:t>
      </w:r>
      <w:r>
        <w:rPr>
          <w:b/>
        </w:rPr>
        <w:t>联系客户经理（D）</w:t>
      </w:r>
      <w:r>
        <w:t>同样高效：教材案例显示，调查员发现客户交易模式异常时，会标记并临时提高风险评级，以触发客户经理的审核</w:t>
      </w:r>
      <w:r>
        <w:rPr>
          <w:sz w:val="15"/>
          <w:vertAlign w:val="superscript"/>
        </w:rPr>
        <w:t>P468</w:t>
      </w:r>
      <w:r>
        <w:t>。在调查阶段，客户经理是“了解你的客户”信息与客户实际行为之间最直接的解释桥梁——他们掌握账户目的、业务背景等非结构化信息，能快速判断“为什么会出现这种模式”，这是纯数据无法替代的。两项技术均面向内部已有资源，无需跨机构协调或公开暴露，在“触发警报后的复杂调查”语境下效率远高于其他选项。</w:t>
      </w:r>
    </w:p>
    <w:p>
      <w:pPr>
        <w:spacing w:line="360" w:lineRule="auto" w:after="40"/>
      </w:pPr>
      <w:r>
        <w:rPr>
          <w:b/>
          <w:shd w:fill="D6E4F0" w:val="clear"/>
        </w:rPr>
        <w:t>教材原句：</w:t>
      </w:r>
    </w:p>
    <w:p>
      <w:pPr>
        <w:spacing w:line="360" w:lineRule="auto" w:after="40"/>
      </w:pPr>
      <w:r>
        <w:t>"Control and ownership play a vital role in AML efforts, as they can often be obscured or concealed, allowing bad actors to disguise criminal activities and facilitate financial crime."</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在“触发警报后”的调查阶段，金融机构的职责是先完成自身调查，再根据结果决定是否移交执法。教材指出，组织应在完成自身调查后将案件移交执法部门</w:t>
      </w:r>
      <w:r>
        <w:rPr>
          <w:sz w:val="15"/>
          <w:vertAlign w:val="superscript"/>
        </w:rPr>
        <w:t>P361</w:t>
      </w:r>
      <w:r>
        <w:t>，而非在调查初期请求执法协助。题干更直接匹配“先内部调查”的流程要求，而非“直接寻求外部执法介入”。</w:t>
      </w:r>
    </w:p>
    <w:p>
      <w:pPr>
        <w:spacing w:line="360" w:lineRule="auto" w:after="40"/>
      </w:pPr>
      <w:r>
        <w:rPr>
          <w:b/>
          <w:shd w:fill="D6E4F0" w:val="clear"/>
        </w:rPr>
        <w:t>C项错误：</w:t>
      </w:r>
    </w:p>
    <w:p>
      <w:pPr>
        <w:spacing w:line="360" w:lineRule="auto" w:after="40"/>
      </w:pPr>
      <w:r>
        <w:t>仅查看警报描述信息即拒绝未来交易，跳过了“审查案件事实并决定是否提交可疑交易报告”的完整调查流程</w:t>
      </w:r>
      <w:r>
        <w:rPr>
          <w:sz w:val="15"/>
          <w:vertAlign w:val="superscript"/>
        </w:rPr>
        <w:t>P357</w:t>
      </w:r>
      <w:r>
        <w:t>。教材强调，金融机构在审查预警后可能因证据不足而决定不提交可疑活动报告</w:t>
      </w:r>
      <w:r>
        <w:rPr>
          <w:sz w:val="15"/>
          <w:vertAlign w:val="superscript"/>
        </w:rPr>
        <w:t>P357</w:t>
      </w:r>
      <w:r>
        <w:t>，这意味着预警本身不等于结论。题干要求的“高效技术”是信息收集分析手段，而非直接给出处置决定，且教材描述的是一个调查与决策的过程，而非仅基于警报描述的单向行动。</w:t>
      </w:r>
    </w:p>
    <w:p>
      <w:pPr>
        <w:spacing w:line="360" w:lineRule="auto" w:after="40"/>
      </w:pPr>
      <w:r>
        <w:rPr>
          <w:b/>
          <w:shd w:fill="D6E4F0" w:val="clear"/>
        </w:rPr>
        <w:t>E项错误：</w:t>
      </w:r>
    </w:p>
    <w:p>
      <w:pPr>
        <w:spacing w:line="360" w:lineRule="auto" w:after="40"/>
      </w:pPr>
      <w:r>
        <w:t>社交媒体资料可提供客户或相关方的额外背景信息</w:t>
      </w:r>
      <w:r>
        <w:rPr>
          <w:sz w:val="15"/>
          <w:vertAlign w:val="superscript"/>
        </w:rPr>
        <w:t>P338</w:t>
      </w:r>
      <w:r>
        <w:t>，其用途是被动收集公开信息辅助判断，而非直接联系客户索要账户活动详情。调查中向客户直接索取信息通过正式信息请求流程（RFI）进行</w:t>
      </w:r>
      <w:r>
        <w:rPr>
          <w:sz w:val="15"/>
          <w:vertAlign w:val="superscript"/>
        </w:rPr>
        <w:t>P338</w:t>
      </w:r>
      <w:r>
        <w:t>。通过社交媒体平台直接联系企业请求账户详情，缺乏正式流程保障，且可能引发“提示”（tipping off）风险。相比之下，联系客户经理（D）和评估内部档案（A）在合规性与信息可靠性上更匹配调查需求。</w:t>
      </w:r>
    </w:p>
    <w:p>
      <w:pPr>
        <w:spacing w:line="360" w:lineRule="auto" w:after="40"/>
      </w:pPr>
      <w:r>
        <w:rPr>
          <w:b/>
          <w:shd w:fill="D6E4F0" w:val="clear"/>
        </w:rPr>
        <w:t>易错提醒：</w:t>
      </w:r>
    </w:p>
    <w:p>
      <w:pPr>
        <w:spacing w:line="360" w:lineRule="auto" w:after="40"/>
      </w:pPr>
      <w:r>
        <w:t>调查阶段的信息收集与向执法部门“提交案件”是不同流程节点。教材在</w:t>
      </w:r>
      <w:r>
        <w:rPr>
          <w:sz w:val="15"/>
          <w:vertAlign w:val="superscript"/>
        </w:rPr>
        <w:t>P361</w:t>
      </w:r>
      <w:r>
        <w:t>明确：组织应在完成自身调查后再将案件移交执法部门。执法介入不是调查的起点，而是调查完成后的后续步骤。两者在时间序列上不可倒置。</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