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line="360" w:lineRule="auto" w:after="240"/>
      </w:pPr>
      <w:r>
        <w:t>试卷名称:CAMS CH04</w:t>
      </w:r>
    </w:p>
    <w:p>
      <w:pPr>
        <w:spacing w:line="360" w:lineRule="auto" w:after="160"/>
      </w:pPr>
      <w:r>
        <w:t>一、单项选择题</w:t>
      </w:r>
    </w:p>
    <w:p>
      <w:pPr>
        <w:spacing w:line="360" w:lineRule="auto" w:after="40"/>
      </w:pPr>
      <w:r>
        <w:t>1. 一名客户经常向一个网络赌博账户存入大笔现金,并在存入不久后就提出取款请求,期间赌博活动极少.在博彩和游戏行业中,这种行为最有可能带来哪种洗钱风险？</w:t>
      </w:r>
    </w:p>
    <w:p>
      <w:pPr>
        <w:spacing w:line="360" w:lineRule="auto" w:after="20"/>
      </w:pPr>
      <w:r>
        <w:t>A.该客户正试图将非法资金转换为合法的取款.</w:t>
      </w:r>
    </w:p>
    <w:p>
      <w:pPr>
        <w:spacing w:line="360" w:lineRule="auto" w:after="20"/>
      </w:pPr>
      <w:r>
        <w:t>B.该客户试图通过减少赌博活动来避免高额费用.</w:t>
      </w:r>
    </w:p>
    <w:p>
      <w:pPr>
        <w:spacing w:line="360" w:lineRule="auto" w:after="20"/>
      </w:pPr>
      <w:r>
        <w:t>C.该客户正在测试游戏平台的支付系统以排查是否存在欺诈行为.</w:t>
      </w:r>
    </w:p>
    <w:p>
      <w:pPr>
        <w:spacing w:line="360" w:lineRule="auto" w:after="20"/>
      </w:pPr>
      <w:r>
        <w:t>D.该客户是一名高风险赌徒,经常下大注.</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识别博彩业中以“存取快、赌博少”为特征的洗钱手法</w:t>
      </w:r>
    </w:p>
    <w:p>
      <w:pPr>
        <w:spacing w:line="360" w:lineRule="auto" w:after="40"/>
      </w:pPr>
      <w:r>
        <w:rPr>
          <w:b/>
          <w:shd w:fill="D6E4F0" w:val="clear"/>
        </w:rPr>
        <w:t>核心解析：</w:t>
      </w:r>
    </w:p>
    <w:p>
      <w:pPr>
        <w:spacing w:line="360" w:lineRule="auto" w:after="40"/>
      </w:pPr>
      <w:r>
        <w:t>教材描述了一种典型的博彩业洗钱手法：犯罪分子用非法资金</w:t>
      </w:r>
      <w:r>
        <w:rPr>
          <w:b/>
        </w:rPr>
        <w:t>匿名购买筹码</w:t>
      </w:r>
      <w:r>
        <w:t>，进行极少量赌博活动后立即兑现，从而实现资金的“清洗”</w:t>
      </w:r>
      <w:r>
        <w:rPr>
          <w:sz w:val="15"/>
          <w:vertAlign w:val="superscript"/>
        </w:rPr>
        <w:t>P120</w:t>
      </w:r>
      <w:r>
        <w:t>。题干中的行为模式——</w:t>
      </w:r>
      <w:r>
        <w:rPr>
          <w:b/>
        </w:rPr>
        <w:t>大笔现金存入、极少量赌博活动、短时间内取款</w:t>
      </w:r>
      <w:r>
        <w:t>——与这一手法完全吻合。客户的核心目的并非赌博，而是以赌场为管道将非法现金转换为表面合法的取款。</w:t>
      </w:r>
    </w:p>
    <w:p>
      <w:pPr>
        <w:spacing w:line="360" w:lineRule="auto" w:after="40"/>
      </w:pPr>
      <w:r>
        <w:rPr>
          <w:b/>
          <w:shd w:fill="D6E4F0" w:val="clear"/>
        </w:rPr>
        <w:t>教材原句：</w:t>
      </w:r>
    </w:p>
    <w:p>
      <w:pPr>
        <w:spacing w:line="360" w:lineRule="auto" w:after="40"/>
      </w:pPr>
      <w:r>
        <w:t>"Criminals can anonymously purchase chips with illicit funds, gamble briefly, and cash out, effectively "cleaning" their money."</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题干并未提及费用问题，而“赌博活动极少”与规避费用之间也没有直接关联。相比之下，A项能直接解释“大额存入、少量赌博、快速取款”这一行为组合，关联更直接。</w:t>
      </w:r>
    </w:p>
    <w:p>
      <w:pPr>
        <w:spacing w:line="360" w:lineRule="auto" w:after="40"/>
      </w:pPr>
      <w:r>
        <w:rPr>
          <w:b/>
          <w:shd w:fill="D6E4F0" w:val="clear"/>
        </w:rPr>
        <w:t>C项错误：</w:t>
      </w:r>
    </w:p>
    <w:p>
      <w:pPr>
        <w:spacing w:line="360" w:lineRule="auto" w:after="40"/>
      </w:pPr>
      <w:r>
        <w:t>选项要求推断客户有“测试”支付系统的主观意图，这超出了题干事实能支持的范围。频繁存入大额现金、少量赌博后快速取款，更符合A项所述的博彩业洗钱风险。</w:t>
      </w:r>
    </w:p>
    <w:p>
      <w:pPr>
        <w:spacing w:line="360" w:lineRule="auto" w:after="40"/>
      </w:pPr>
      <w:r>
        <w:rPr>
          <w:b/>
          <w:shd w:fill="D6E4F0" w:val="clear"/>
        </w:rPr>
        <w:t>D项错误：</w:t>
      </w:r>
    </w:p>
    <w:p>
      <w:pPr>
        <w:spacing w:line="360" w:lineRule="auto" w:after="40"/>
      </w:pPr>
      <w:r>
        <w:t>题干明确指出“赌博活动极少”，这与“经常下大注”直接矛盾。相比之下，A项完整解释了“大笔存入、少玩、快取”这一组合行为的风险本质，匹配度更高。</w:t>
      </w:r>
    </w:p>
    <w:p>
      <w:pPr>
        <w:spacing w:line="360" w:lineRule="auto" w:after="40"/>
      </w:pPr>
      <w:r>
        <w:rPr>
          <w:b/>
          <w:shd w:fill="D6E4F0" w:val="clear"/>
        </w:rPr>
        <w:t>易错提醒：</w:t>
      </w:r>
    </w:p>
    <w:p>
      <w:pPr>
        <w:spacing w:line="360" w:lineRule="auto" w:after="40"/>
      </w:pPr>
      <w:r>
        <w:t>区分合法高风险赌博与洗钱的关键在于“赌博活动是否与投入金额成比例”：少量赌博即兑现是洗钱红旗信号，而真正的高风险赌徒通常会有与投入金额匹配的持续下注行为。题干中“赌博活动极少”是判断洗钱而非正常赌博的核心线索。</w:t>
      </w:r>
    </w:p>
    <w:p>
      <w:pPr>
        <w:spacing w:line="360" w:lineRule="auto" w:after="120"/>
      </w:pPr>
      <w:r/>
    </w:p>
    <w:p>
      <w:pPr>
        <w:spacing w:line="360" w:lineRule="auto" w:after="40"/>
      </w:pPr>
      <w:r>
        <w:t>2. 一家房地产投资公司的所有者在三个月内分多次存入用现金购买的多张银行本票,这些本票来自两套公寓的销售所得.该账户还收到了来自其他金融机构的几笔每笔1万美元的电子转账.哪些活动被视为洗钱的可疑行为？</w:t>
      </w:r>
    </w:p>
    <w:p>
      <w:pPr>
        <w:spacing w:line="360" w:lineRule="auto" w:after="20"/>
      </w:pPr>
      <w:r>
        <w:t>A.接收来自其他金融机构的多笔电子转账，每笔金额为1万美元</w:t>
      </w:r>
    </w:p>
    <w:p>
      <w:pPr>
        <w:spacing w:line="360" w:lineRule="auto" w:after="20"/>
      </w:pPr>
      <w:r>
        <w:t>B.在一段时间内用现金购买多张银行本票</w:t>
      </w:r>
    </w:p>
    <w:p>
      <w:pPr>
        <w:spacing w:line="360" w:lineRule="auto" w:after="20"/>
      </w:pPr>
      <w:r>
        <w:t>C.与房地产投资公司开展业务</w:t>
      </w:r>
    </w:p>
    <w:p>
      <w:pPr>
        <w:spacing w:line="360" w:lineRule="auto" w:after="20"/>
      </w:pPr>
      <w:r>
        <w:t>D.银行本票</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识别现金交易在房地产洗钱中的风险权重</w:t>
      </w:r>
    </w:p>
    <w:p>
      <w:pPr>
        <w:spacing w:line="360" w:lineRule="auto" w:after="40"/>
      </w:pPr>
      <w:r>
        <w:rPr>
          <w:b/>
          <w:shd w:fill="D6E4F0" w:val="clear"/>
        </w:rPr>
        <w:t>核心解析：</w:t>
      </w:r>
    </w:p>
    <w:p>
      <w:pPr>
        <w:spacing w:line="360" w:lineRule="auto" w:after="40"/>
      </w:pPr>
      <w:r>
        <w:t>洗钱风险判断需要关注资金来源和可追踪性。教材指出，</w:t>
      </w:r>
      <w:r>
        <w:rPr>
          <w:b/>
        </w:rPr>
        <w:t>现金比通过金融机构完成的支付更难追踪</w:t>
      </w:r>
      <w:r>
        <w:t>，因此现金交易会增加洗钱风险</w:t>
      </w:r>
      <w:r>
        <w:rPr>
          <w:sz w:val="15"/>
          <w:vertAlign w:val="superscript"/>
        </w:rPr>
        <w:t>P122</w:t>
      </w:r>
      <w:r>
        <w:t>。题干中，行为人在三个月内多次用现金购买银行本票，再将这些本票存入账户；这种</w:t>
      </w:r>
      <w:r>
        <w:rPr>
          <w:b/>
        </w:rPr>
        <w:t>反复将现金转换为金融票据</w:t>
      </w:r>
      <w:r>
        <w:t>的模式，会增加核实原始资金来源和交易目的的难度，因而比单纯接收来自其他金融机构的电子转账更值得关注。银行本票本身是合法工具，风险来自“持续以现金购买多张本票”这一组合特征，因此B最符合题意。</w:t>
      </w:r>
    </w:p>
    <w:p>
      <w:pPr>
        <w:spacing w:line="360" w:lineRule="auto" w:after="40"/>
      </w:pPr>
      <w:r>
        <w:rPr>
          <w:b/>
          <w:shd w:fill="D6E4F0" w:val="clear"/>
        </w:rPr>
        <w:t>教材原句：</w:t>
      </w:r>
    </w:p>
    <w:p>
      <w:pPr>
        <w:spacing w:line="360" w:lineRule="auto" w:after="40"/>
      </w:pPr>
      <w:r>
        <w:t>"Cash transactions remain relatively common in some markets and increase the potential for money laundering, as cash is more challenging to trace than payments made through financial institutions."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题干中的电子转账金额为1万美元，在教材中，这个金额常出现在报告阈值（如FinCEN表格8300）</w:t>
      </w:r>
      <w:r>
        <w:rPr>
          <w:sz w:val="15"/>
          <w:vertAlign w:val="superscript"/>
        </w:rPr>
        <w:t>P298</w:t>
      </w:r>
      <w:r>
        <w:t>和拆分交易举例</w:t>
      </w:r>
      <w:r>
        <w:rPr>
          <w:sz w:val="15"/>
          <w:vertAlign w:val="superscript"/>
        </w:rPr>
        <w:t>P445</w:t>
      </w:r>
      <w:r>
        <w:t>上下文中。但教材案例强调的拆分模式是“存入9900美元以规避1万美元报告要求”。题干描述的是“接收”1万美元转账，而不是“存入”略低于阈值的金额。接收恰好1万美元的电子转账，不如主动用现金购买多张票据那样更吻合“模糊资金链路”的洗钱行为特征。</w:t>
      </w:r>
    </w:p>
    <w:p>
      <w:pPr>
        <w:spacing w:line="360" w:lineRule="auto" w:after="40"/>
      </w:pPr>
      <w:r>
        <w:rPr>
          <w:b/>
          <w:shd w:fill="D6E4F0" w:val="clear"/>
        </w:rPr>
        <w:t>C项错误：</w:t>
      </w:r>
    </w:p>
    <w:p>
      <w:pPr>
        <w:spacing w:line="360" w:lineRule="auto" w:after="40"/>
      </w:pPr>
      <w:r>
        <w:t>房地产行业确实“因交易金额大”而固有洗钱风险</w:t>
      </w:r>
      <w:r>
        <w:rPr>
          <w:sz w:val="15"/>
          <w:vertAlign w:val="superscript"/>
        </w:rPr>
        <w:t>P121</w:t>
      </w:r>
      <w:r>
        <w:t>，但与房地产投资公司发生业务操作本身是一种合法商业行为。题干问的是“哪些活动”本身可疑，而非“与谁交易”可疑。教材将“全部或主要用现金支付”列为红旗信号</w:t>
      </w:r>
      <w:r>
        <w:rPr>
          <w:sz w:val="15"/>
          <w:vertAlign w:val="superscript"/>
        </w:rPr>
        <w:t>P122</w:t>
      </w:r>
      <w:r>
        <w:t>，而非“公司类型”。因此，与房地产公司交易作为可疑指标，匹配度不如直接用现金购买票据这一行为。</w:t>
      </w:r>
    </w:p>
    <w:p>
      <w:pPr>
        <w:spacing w:line="360" w:lineRule="auto" w:after="40"/>
      </w:pPr>
      <w:r>
        <w:rPr>
          <w:b/>
          <w:shd w:fill="D6E4F0" w:val="clear"/>
        </w:rPr>
        <w:t>D项错误：</w:t>
      </w:r>
    </w:p>
    <w:p>
      <w:pPr>
        <w:spacing w:line="360" w:lineRule="auto" w:after="40"/>
      </w:pPr>
      <w:r>
        <w:t>银行本票是合法金融工具，单看工具名称无法判断交易是否可疑。题干中的关键风险来自持续使用现金购买多张本票这一行为模式，而不是本票本身，因此D不如B具体。</w:t>
      </w:r>
    </w:p>
    <w:p>
      <w:pPr>
        <w:spacing w:line="360" w:lineRule="auto" w:after="40"/>
      </w:pPr>
      <w:r>
        <w:rPr>
          <w:b/>
          <w:shd w:fill="D6E4F0" w:val="clear"/>
        </w:rPr>
        <w:t>易错提醒：</w:t>
      </w:r>
    </w:p>
    <w:p>
      <w:pPr>
        <w:spacing w:line="360" w:lineRule="auto" w:after="40"/>
      </w:pPr>
      <w:r>
        <w:t>金融工具本身不必然可疑，关键在于其使用方式。银行本票（cashier's check）在洗钱语境下是否可疑，取决于购买方式和资金来源。本题的风险点在于“用现金购买多张本票”，而不是银行本票这一工具本身。</w:t>
      </w:r>
    </w:p>
    <w:p>
      <w:pPr>
        <w:spacing w:line="360" w:lineRule="auto" w:after="120"/>
      </w:pPr>
      <w:r/>
    </w:p>
    <w:p>
      <w:pPr>
        <w:spacing w:line="360" w:lineRule="auto" w:after="40"/>
      </w:pPr>
      <w:r>
        <w:t>3. 一家律师事务所为一位客户设立复杂的离岸公司架构，且客户资金来源文件极少。该事务所不质疑客户的交易，也不报告任何可疑活动。该律师事务所的这种行为主要存在何种洗钱风险？</w:t>
      </w:r>
    </w:p>
    <w:p>
      <w:pPr>
        <w:spacing w:line="360" w:lineRule="auto" w:after="20"/>
      </w:pPr>
      <w:r>
        <w:t>A.该律师事务所通过尽量减少高风险司法管辖区客户的文件来规避费用.</w:t>
      </w:r>
    </w:p>
    <w:p>
      <w:pPr>
        <w:spacing w:line="360" w:lineRule="auto" w:after="20"/>
      </w:pPr>
      <w:r>
        <w:t>B.该律师事务所正在进行激进的税务筹划,以帮助客户逃避依法应缴的税款.</w:t>
      </w:r>
    </w:p>
    <w:p>
      <w:pPr>
        <w:spacing w:line="360" w:lineRule="auto" w:after="20"/>
      </w:pPr>
      <w:r>
        <w:t>C.该律师事务所提供的是常规法律服务,其中包括构建复杂的法律架构,无需进一步审查.</w:t>
      </w:r>
    </w:p>
    <w:p>
      <w:pPr>
        <w:spacing w:line="360" w:lineRule="auto" w:after="20"/>
      </w:pPr>
      <w:r>
        <w:t>D.该律师事务所充当着看门人的角色,通过复杂的公司架构为非法资金的转移和隐匿提供便利.</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识别DNFBP作为“看门人”的洗钱风险</w:t>
      </w:r>
    </w:p>
    <w:p>
      <w:pPr>
        <w:spacing w:line="360" w:lineRule="auto" w:after="40"/>
      </w:pPr>
      <w:r>
        <w:rPr>
          <w:b/>
          <w:shd w:fill="D6E4F0" w:val="clear"/>
        </w:rPr>
        <w:t>核心解析：</w:t>
      </w:r>
    </w:p>
    <w:p>
      <w:pPr>
        <w:spacing w:line="360" w:lineRule="auto" w:after="40"/>
      </w:pPr>
      <w:r>
        <w:t>教材将DNFBP（指定非金融业和职业）称为</w:t>
      </w:r>
      <w:r>
        <w:rPr>
          <w:b/>
        </w:rPr>
        <w:t>“看门人”</w:t>
      </w:r>
      <w:r>
        <w:t>，指其充当犯罪分子与金融系统之间的中介</w:t>
      </w:r>
      <w:r>
        <w:rPr>
          <w:sz w:val="15"/>
          <w:vertAlign w:val="superscript"/>
        </w:rPr>
        <w:t>P119</w:t>
      </w:r>
      <w:r>
        <w:t>。本题中，律师事务所为客户设立复杂的离岸公司架构，客户资金文件极少，事务所有意不质疑交易、不报告可疑活动。这直接契合法律专业人士作为“看门人”的典型风险行为——通过设立信托或壳公司等</w:t>
      </w:r>
      <w:r>
        <w:rPr>
          <w:b/>
        </w:rPr>
        <w:t>复杂结构隐藏真实受益人</w:t>
      </w:r>
      <w:r>
        <w:t>，为非法资金转移和隐匿提供便利</w:t>
      </w:r>
      <w:r>
        <w:rPr>
          <w:sz w:val="15"/>
          <w:vertAlign w:val="superscript"/>
        </w:rPr>
        <w:t>P119</w:t>
      </w:r>
      <w:r>
        <w:t>。选项D准确地将此种行为定性为“充当看门人，通过复杂的公司架构为非法资金的转移和隐匿提供便利”，直接命中了DNFBP在教材中的核心洗钱风险定义。</w:t>
      </w:r>
    </w:p>
    <w:p>
      <w:pPr>
        <w:spacing w:line="360" w:lineRule="auto" w:after="40"/>
      </w:pPr>
      <w:r>
        <w:rPr>
          <w:b/>
          <w:shd w:fill="D6E4F0" w:val="clear"/>
        </w:rPr>
        <w:t>教材原句：</w:t>
      </w:r>
    </w:p>
    <w:p>
      <w:pPr>
        <w:spacing w:line="360" w:lineRule="auto" w:after="40"/>
      </w:pPr>
      <w:r>
        <w:t>"Often referred to as "gatekeepers," these businesses act as intermediaries between criminals and the financial system."</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选项强调的“规避费用”在教材关于高风险司法管辖区的讨论中未成为核心风险点，教材关注的是“规避特定风险”以最小化对高风险区域的敞口</w:t>
      </w:r>
      <w:r>
        <w:rPr>
          <w:sz w:val="15"/>
          <w:vertAlign w:val="superscript"/>
        </w:rPr>
        <w:t>P273</w:t>
      </w:r>
      <w:r>
        <w:t>。题干描述的行为（设立复杂架构、不质疑交易）更直接指向为洗钱提供便利，而非节省成本或规避费用。</w:t>
      </w:r>
    </w:p>
    <w:p>
      <w:pPr>
        <w:spacing w:line="360" w:lineRule="auto" w:after="40"/>
      </w:pPr>
      <w:r>
        <w:rPr>
          <w:b/>
          <w:shd w:fill="D6E4F0" w:val="clear"/>
        </w:rPr>
        <w:t>B项错误：</w:t>
      </w:r>
    </w:p>
    <w:p>
      <w:pPr>
        <w:spacing w:line="360" w:lineRule="auto" w:after="40"/>
      </w:pPr>
      <w:r>
        <w:t>该项描述的是通过激进税务筹划逃避依法应缴税款，侧重税务违法风险。题干则突出复杂离岸架构、资金来源文件极少、不质疑交易且不报告可疑活动，更直接体现专业服务机构作为“看门人”为非法资金转移和隐匿提供便利的洗钱风险，因此D比B更符合题问的主要风险。</w:t>
      </w:r>
    </w:p>
    <w:p>
      <w:pPr>
        <w:spacing w:line="360" w:lineRule="auto" w:after="40"/>
      </w:pPr>
      <w:r>
        <w:rPr>
          <w:b/>
          <w:shd w:fill="D6E4F0" w:val="clear"/>
        </w:rPr>
        <w:t>C项错误：</w:t>
      </w:r>
    </w:p>
    <w:p>
      <w:pPr>
        <w:spacing w:line="360" w:lineRule="auto" w:after="40"/>
      </w:pPr>
      <w:r>
        <w:t>教材指出法律行业面临显著洗钱风险，“犯罪分子常利用法律专业人士的服务隐藏非法资金”</w:t>
      </w:r>
      <w:r>
        <w:rPr>
          <w:sz w:val="15"/>
          <w:vertAlign w:val="superscript"/>
        </w:rPr>
        <w:t>P125</w:t>
      </w:r>
      <w:r>
        <w:t>。将设立复杂离岸架构且不审查资金来源的行为视为“常规法律服务、无需进一步审查”，忽视了教材为DNFBP设定的反洗钱义务。题干中“minimal documentation”和“不报告”的特征，使该行为超出了常规服务的边界。</w:t>
      </w:r>
    </w:p>
    <w:p>
      <w:pPr>
        <w:spacing w:line="360" w:lineRule="auto" w:after="120"/>
      </w:pPr>
      <w:r/>
    </w:p>
    <w:p>
      <w:pPr>
        <w:spacing w:line="360" w:lineRule="auto" w:after="40"/>
      </w:pPr>
      <w:r>
        <w:t>4. 诸如律师、会计师以及信托和公司服务提供商(TCSP)等职业有时被称为“看门人”,因为他们:</w:t>
      </w:r>
    </w:p>
    <w:p>
      <w:pPr>
        <w:spacing w:line="360" w:lineRule="auto" w:after="20"/>
      </w:pPr>
      <w:r>
        <w:t>A.往往不了解也不受反洗钱法律法规的约束,无意中让犯罪分子进入合法经济领域.</w:t>
      </w:r>
    </w:p>
    <w:p>
      <w:pPr>
        <w:spacing w:line="360" w:lineRule="auto" w:after="20"/>
      </w:pPr>
      <w:r>
        <w:t>B.是进入金融体系的一个入口,也是防范非法资金渗入合法经济的第一道防线</w:t>
      </w:r>
    </w:p>
    <w:p>
      <w:pPr>
        <w:spacing w:line="360" w:lineRule="auto" w:after="20"/>
      </w:pPr>
      <w:r>
        <w:t>C.根据所有司法管辖区的反洗钱法律法规,必须阻止任何犯罪分子将非法资金融入合法经济.</w:t>
      </w:r>
    </w:p>
    <w:p>
      <w:pPr>
        <w:spacing w:line="360" w:lineRule="auto" w:after="20"/>
      </w:pPr>
      <w:r>
        <w:t>D.是高风险主体,他们可能故意让犯罪分子进入合法经济领域.</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理解DNFBP作为守门人的中介与第一道防线角色</w:t>
      </w:r>
    </w:p>
    <w:p>
      <w:pPr>
        <w:spacing w:line="360" w:lineRule="auto" w:after="40"/>
      </w:pPr>
      <w:r>
        <w:rPr>
          <w:b/>
          <w:shd w:fill="D6E4F0" w:val="clear"/>
        </w:rPr>
        <w:t>核心解析：</w:t>
      </w:r>
    </w:p>
    <w:p>
      <w:pPr>
        <w:spacing w:line="360" w:lineRule="auto" w:after="40"/>
      </w:pPr>
      <w:r>
        <w:t>教材将指定的非金融企业及行业（DNFBP）常被称为</w:t>
      </w:r>
      <w:r>
        <w:rPr>
          <w:b/>
        </w:rPr>
        <w:t>“看门人”</w:t>
      </w:r>
      <w:r>
        <w:t>，指其充当犯罪分子与金融系统之间的中介</w:t>
      </w:r>
      <w:r>
        <w:rPr>
          <w:sz w:val="15"/>
          <w:vertAlign w:val="superscript"/>
        </w:rPr>
        <w:t>P119</w:t>
      </w:r>
      <w:r>
        <w:t>。这种中介角色天然包含两个侧面：既是接触金融体系的入口，也是阻止非法资金进入的防线。题干中律师、会计师、信托与公司服务提供商正属于DNFBP，因此选项B所描述的“进入金融体系的一个入口”与“防范非法资金渗入合法经济的第一道防线”恰好对应了看门人作为中介的</w:t>
      </w:r>
      <w:r>
        <w:rPr>
          <w:b/>
        </w:rPr>
        <w:t>桥梁与屏障功能</w:t>
      </w:r>
      <w:r>
        <w:t>，比其他选项更直接契合教材定义。</w:t>
      </w:r>
    </w:p>
    <w:p>
      <w:pPr>
        <w:spacing w:line="360" w:lineRule="auto" w:after="40"/>
      </w:pPr>
      <w:r>
        <w:rPr>
          <w:b/>
          <w:shd w:fill="D6E4F0" w:val="clear"/>
        </w:rPr>
        <w:t>教材原句：</w:t>
      </w:r>
    </w:p>
    <w:p>
      <w:pPr>
        <w:spacing w:line="360" w:lineRule="auto" w:after="40"/>
      </w:pPr>
      <w:r>
        <w:t>"Often referred to as "gatekeepers," these businesses act as intermediaries between criminals and the financial system."</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DNFBP从事的部分业务容易被犯罪分子利用，但这不表示其通常不了解反洗钱要求或天然不受监管。看门人的关键特征是处于客户与金融体系之间的重要入口，而不是对法规无知或获得豁免。</w:t>
      </w:r>
    </w:p>
    <w:p>
      <w:pPr>
        <w:spacing w:line="360" w:lineRule="auto" w:after="40"/>
      </w:pPr>
      <w:r>
        <w:rPr>
          <w:b/>
          <w:shd w:fill="D6E4F0" w:val="clear"/>
        </w:rPr>
        <w:t>C项错误：</w:t>
      </w:r>
    </w:p>
    <w:p>
      <w:pPr>
        <w:spacing w:line="360" w:lineRule="auto" w:after="40"/>
      </w:pPr>
      <w:r>
        <w:t>“所有司法管辖区”和“阻止任何犯罪分子”都是绝对化表述。DNFBP的具体义务取决于适用法律和业务风险，其作用是识别并降低风险，而不是保证在全球范围内阻止一切犯罪活动。</w:t>
      </w:r>
    </w:p>
    <w:p>
      <w:pPr>
        <w:spacing w:line="360" w:lineRule="auto" w:after="40"/>
      </w:pPr>
      <w:r>
        <w:rPr>
          <w:b/>
          <w:shd w:fill="D6E4F0" w:val="clear"/>
        </w:rPr>
        <w:t>D项错误：</w:t>
      </w:r>
    </w:p>
    <w:p>
      <w:pPr>
        <w:spacing w:line="360" w:lineRule="auto" w:after="40"/>
      </w:pPr>
      <w:r>
        <w:t>看门人可能被犯罪分子利用，也可能故意提供协助，但这些是具体行为风险，不能作为看门人概念本身的定义。该概念强调的是其中介位置以及由此产生的准入、防范责任，因此B更准确。</w:t>
      </w:r>
    </w:p>
    <w:p>
      <w:pPr>
        <w:spacing w:line="360" w:lineRule="auto" w:after="120"/>
      </w:pPr>
      <w:r/>
    </w:p>
    <w:p>
      <w:pPr>
        <w:spacing w:line="360" w:lineRule="auto" w:after="40"/>
      </w:pPr>
      <w:r>
        <w:t>5. 虽然信托和公司服务提供商（TCSP）有正当理由任命代名股东，但代名股东的哪一特征会带来最大的金融犯罪风险？</w:t>
      </w:r>
    </w:p>
    <w:p>
      <w:pPr>
        <w:spacing w:line="360" w:lineRule="auto" w:after="20"/>
      </w:pPr>
      <w:r>
        <w:t>A.提高公司股份的流动性，并便于实施退出策略</w:t>
      </w:r>
    </w:p>
    <w:p>
      <w:pPr>
        <w:spacing w:line="360" w:lineRule="auto" w:after="20"/>
      </w:pPr>
      <w:r>
        <w:t>B.通过将受益所有人的身份从公共登记册中隐藏起来为其提供匿名性</w:t>
      </w:r>
    </w:p>
    <w:p>
      <w:pPr>
        <w:spacing w:line="360" w:lineRule="auto" w:after="20"/>
      </w:pPr>
      <w:r>
        <w:t>C.简化与持股相关的行政事务</w:t>
      </w:r>
    </w:p>
    <w:p>
      <w:pPr>
        <w:spacing w:line="360" w:lineRule="auto" w:after="20"/>
      </w:pPr>
      <w:r>
        <w:t>D.协助非居民遵守本地所有权法规</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识别名义股东安排中隐藏UBO身份的核心洗钱风险</w:t>
      </w:r>
    </w:p>
    <w:p>
      <w:pPr>
        <w:spacing w:line="360" w:lineRule="auto" w:after="40"/>
      </w:pPr>
      <w:r>
        <w:rPr>
          <w:b/>
          <w:shd w:fill="D6E4F0" w:val="clear"/>
        </w:rPr>
        <w:t>核心解析：</w:t>
      </w:r>
    </w:p>
    <w:p>
      <w:pPr>
        <w:spacing w:line="360" w:lineRule="auto" w:after="40"/>
      </w:pPr>
      <w:r>
        <w:t>名义董事或股东可被用于</w:t>
      </w:r>
      <w:r>
        <w:rPr>
          <w:b/>
        </w:rPr>
        <w:t>隐藏最终受益所有人（UBO）的身份</w:t>
      </w:r>
      <w:r>
        <w:t>，通过制造匿名层增加洗钱风险</w:t>
      </w:r>
      <w:r>
        <w:rPr>
          <w:sz w:val="15"/>
          <w:vertAlign w:val="superscript"/>
        </w:rPr>
        <w:t>P127</w:t>
      </w:r>
      <w:r>
        <w:t>。题干中代名股东（nominee shareholder）正是这种名义安排的一种形式，其最突出的金融犯罪风险在于使真正的受益所有人从公共登记册中隐匿，从而让非法活动得以掩盖。选项B直接指向这一风险：为受益所有人提供匿名性，将其身份从公共登记册中隐藏。这与教材对名义结构风险的定义最吻合，因此是正确的。</w:t>
      </w:r>
    </w:p>
    <w:p>
      <w:pPr>
        <w:spacing w:line="360" w:lineRule="auto" w:after="40"/>
      </w:pPr>
      <w:r>
        <w:rPr>
          <w:b/>
          <w:shd w:fill="D6E4F0" w:val="clear"/>
        </w:rPr>
        <w:t>教材原句：</w:t>
      </w:r>
    </w:p>
    <w:p>
      <w:pPr>
        <w:spacing w:line="360" w:lineRule="auto" w:after="40"/>
      </w:pPr>
      <w:r>
        <w:t>"These nominee directors or shareholders can be used to conceal the identity of the UBO or operator of the business, creating a layer of anonymity that heightens money laundering risks through obfuscation."</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提高公司流动性或便于退出属于商业安排的潜在效果，不能说明代名股东为什么会增加金融犯罪风险。题干关注的是该结构如何遮蔽真实控制人，因此A不如B直接。</w:t>
      </w:r>
    </w:p>
    <w:p>
      <w:pPr>
        <w:spacing w:line="360" w:lineRule="auto" w:after="40"/>
      </w:pPr>
      <w:r>
        <w:rPr>
          <w:b/>
          <w:shd w:fill="D6E4F0" w:val="clear"/>
        </w:rPr>
        <w:t>C项错误：</w:t>
      </w:r>
    </w:p>
    <w:p>
      <w:pPr>
        <w:spacing w:line="360" w:lineRule="auto" w:after="40"/>
      </w:pPr>
      <w:r>
        <w:t>简化行政事务可能是名义服务的正当用途，但便利性本身不是金融犯罪风险。真正需要关注的是登记股东与实际受益所有人分离后，身份和控制关系可能被隐藏。</w:t>
      </w:r>
    </w:p>
    <w:p>
      <w:pPr>
        <w:spacing w:line="360" w:lineRule="auto" w:after="40"/>
      </w:pPr>
      <w:r>
        <w:rPr>
          <w:b/>
          <w:shd w:fill="D6E4F0" w:val="clear"/>
        </w:rPr>
        <w:t>D项错误：</w:t>
      </w:r>
    </w:p>
    <w:p>
      <w:pPr>
        <w:spacing w:line="360" w:lineRule="auto" w:after="40"/>
      </w:pPr>
      <w:r>
        <w:t>协助非居民满足合法的本地所有权要求属于合规用途，不等于该安排的主要金融犯罪风险。代名股东被滥用时，核心问题是隐匿UBO，而不是协助守法，因此D不及B。</w:t>
      </w:r>
    </w:p>
    <w:p>
      <w:pPr>
        <w:spacing w:line="360" w:lineRule="auto" w:after="40"/>
      </w:pPr>
      <w:r>
        <w:rPr>
          <w:b/>
          <w:shd w:fill="D6E4F0" w:val="clear"/>
        </w:rPr>
        <w:t>易错提醒：</w:t>
      </w:r>
    </w:p>
    <w:p>
      <w:pPr>
        <w:spacing w:line="360" w:lineRule="auto" w:after="40"/>
      </w:pPr>
      <w:r>
        <w:t>代名股东/名义股东与受益所有人的区别：名义股东是登记在册的股东，受益所有人是真正拥有和控制公司的人。名义股东安排的固有风险在于两者分离，使受益所有人得以隐藏，这正是教材认定的洗钱风险核心</w:t>
      </w:r>
      <w:r>
        <w:rPr>
          <w:sz w:val="15"/>
          <w:vertAlign w:val="superscript"/>
        </w:rPr>
        <w:t>P127</w:t>
      </w:r>
      <w:r>
        <w:t>。题目中“最大的金融犯罪风险”应指向这一隐藏身份的意图，而非名义服务的正常商业功能。</w:t>
      </w:r>
    </w:p>
    <w:p>
      <w:pPr>
        <w:spacing w:line="360" w:lineRule="auto" w:after="120"/>
      </w:pPr>
      <w:r/>
    </w:p>
    <w:p>
      <w:pPr>
        <w:spacing w:line="360" w:lineRule="auto" w:after="40"/>
      </w:pPr>
      <w:r>
        <w:t>6. 除了对个人造成的身心伤害之外,以下哪些问题与不受监管的网络赌博和游戏所带来的巨大成本有关？</w:t>
      </w:r>
    </w:p>
    <w:p>
      <w:pPr>
        <w:spacing w:line="360" w:lineRule="auto" w:after="20"/>
      </w:pPr>
      <w:r>
        <w:t>A.经济与社会</w:t>
      </w:r>
    </w:p>
    <w:p>
      <w:pPr>
        <w:spacing w:line="360" w:lineRule="auto" w:after="20"/>
      </w:pPr>
      <w:r>
        <w:t>B.政治与监管</w:t>
      </w:r>
    </w:p>
    <w:p>
      <w:pPr>
        <w:spacing w:line="360" w:lineRule="auto" w:after="20"/>
      </w:pPr>
      <w:r>
        <w:t>C.治理与合规</w:t>
      </w:r>
    </w:p>
    <w:p>
      <w:pPr>
        <w:spacing w:line="360" w:lineRule="auto" w:after="20"/>
      </w:pPr>
      <w:r>
        <w:t>D.行业和司法管辖区方面</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游戏行业的金融犯罪风险及其经济与社会后果</w:t>
      </w:r>
    </w:p>
    <w:p>
      <w:pPr>
        <w:spacing w:line="360" w:lineRule="auto" w:after="40"/>
      </w:pPr>
      <w:r>
        <w:rPr>
          <w:b/>
          <w:shd w:fill="D6E4F0" w:val="clear"/>
        </w:rPr>
        <w:t>核心解析：</w:t>
      </w:r>
    </w:p>
    <w:p>
      <w:pPr>
        <w:spacing w:line="360" w:lineRule="auto" w:after="40"/>
      </w:pPr>
      <w:r>
        <w:t>教材指出，游戏行业具有固有的高金融犯罪风险</w:t>
      </w:r>
      <w:r>
        <w:rPr>
          <w:sz w:val="15"/>
          <w:vertAlign w:val="superscript"/>
        </w:rPr>
        <w:t>P120</w:t>
      </w:r>
      <w:r>
        <w:t>，实体游戏和在线游戏均可能面临金融犯罪风险，并会接触有组织犯罪、高利贷、毒品交易、人口贩运等上游犯罪威胁</w:t>
      </w:r>
      <w:r>
        <w:rPr>
          <w:sz w:val="15"/>
          <w:vertAlign w:val="superscript"/>
        </w:rPr>
        <w:t>P121</w:t>
      </w:r>
      <w:r>
        <w:t>。因此，不受监管并不是一种“成本类别”，而是可能使此类风险缺乏有效控制的条件。对于风险实现后的后果，教材明确概括为</w:t>
      </w:r>
      <w:r>
        <w:rPr>
          <w:b/>
        </w:rPr>
        <w:t>深远的社会和经济后果</w:t>
      </w:r>
      <w:r>
        <w:t>，包括破坏制度、侵蚀公众信任、造成长期经济损害</w:t>
      </w:r>
      <w:r>
        <w:rPr>
          <w:sz w:val="15"/>
          <w:vertAlign w:val="superscript"/>
        </w:rPr>
        <w:t>P42</w:t>
      </w:r>
      <w:r>
        <w:t>，并可能破坏经济稳定、产生更广泛的负面社会后果</w:t>
      </w:r>
      <w:r>
        <w:rPr>
          <w:sz w:val="15"/>
          <w:vertAlign w:val="superscript"/>
        </w:rPr>
        <w:t>P43</w:t>
      </w:r>
      <w:r>
        <w:t>。题干问除个人身心伤害外还会带来哪一类巨大成本，最符合教材后果分类的是A“经济与社会”。这里应理解为网络赌博和游戏可能被金融犯罪利用并由此产生相关后果，不能把网络赌博本身直接等同于金融犯罪。</w:t>
      </w:r>
    </w:p>
    <w:p>
      <w:pPr>
        <w:spacing w:line="360" w:lineRule="auto" w:after="40"/>
      </w:pPr>
      <w:r>
        <w:rPr>
          <w:b/>
          <w:shd w:fill="D6E4F0" w:val="clear"/>
        </w:rPr>
        <w:t>教材原句：</w:t>
      </w:r>
    </w:p>
    <w:p>
      <w:pPr>
        <w:spacing w:line="360" w:lineRule="auto" w:after="40"/>
      </w:pPr>
      <w:r>
        <w:t>"Both physical and online gaming are susceptible to certain financial crime risks."；"Financial crime has far-reaching social and economic consequences, undermining institutions, eroding public trust, and inflicting long-term economic harm."</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教材确实把“监管环境碎片化”列为游戏行业的风险因素</w:t>
      </w:r>
      <w:r>
        <w:rPr>
          <w:sz w:val="15"/>
          <w:vertAlign w:val="superscript"/>
        </w:rPr>
        <w:t>P120</w:t>
      </w:r>
      <w:r>
        <w:t>，但这说明风险为何可能上升，不是题干所问的巨大成本属于哪一类后果。“政治与监管”不能替代教材明确使用的“经济与社会”后果分类。</w:t>
      </w:r>
    </w:p>
    <w:p>
      <w:pPr>
        <w:spacing w:line="360" w:lineRule="auto" w:after="40"/>
      </w:pPr>
      <w:r>
        <w:rPr>
          <w:b/>
          <w:shd w:fill="D6E4F0" w:val="clear"/>
        </w:rPr>
        <w:t>C项错误：</w:t>
      </w:r>
    </w:p>
    <w:p>
      <w:pPr>
        <w:spacing w:line="360" w:lineRule="auto" w:after="40"/>
      </w:pPr>
      <w:r>
        <w:t>“治理与合规”属于预防、控制和应对金融犯罪风险的制度安排，不是风险实现后对外造成的结果。题干问的是除个人伤害之外的更广泛成本，教材对应的是经济损害和负面社会后果</w:t>
      </w:r>
      <w:r>
        <w:rPr>
          <w:sz w:val="15"/>
          <w:vertAlign w:val="superscript"/>
        </w:rPr>
        <w:t>P42—43</w:t>
      </w:r>
      <w:r>
        <w:t>。</w:t>
      </w:r>
    </w:p>
    <w:p>
      <w:pPr>
        <w:spacing w:line="360" w:lineRule="auto" w:after="40"/>
      </w:pPr>
      <w:r>
        <w:rPr>
          <w:b/>
          <w:shd w:fill="D6E4F0" w:val="clear"/>
        </w:rPr>
        <w:t>D项错误：</w:t>
      </w:r>
    </w:p>
    <w:p>
      <w:pPr>
        <w:spacing w:line="360" w:lineRule="auto" w:after="40"/>
      </w:pPr>
      <w:r>
        <w:t>跨境活动、不同行业或司法管辖区可能影响风险暴露及监管难度，教材也把跨境性质列为游戏行业风险因素</w:t>
      </w:r>
      <w:r>
        <w:rPr>
          <w:sz w:val="15"/>
          <w:vertAlign w:val="superscript"/>
        </w:rPr>
        <w:t>P120</w:t>
      </w:r>
      <w:r>
        <w:t>；但“行业和司法管辖区方面”描述的是风险发生的行业或监管边界，并非题干所问的成本类型。</w:t>
      </w:r>
    </w:p>
    <w:p>
      <w:pPr>
        <w:spacing w:line="360" w:lineRule="auto" w:after="40"/>
      </w:pPr>
      <w:r>
        <w:rPr>
          <w:b/>
          <w:shd w:fill="D6E4F0" w:val="clear"/>
        </w:rPr>
        <w:t>易错提醒：</w:t>
      </w:r>
    </w:p>
    <w:p>
      <w:pPr>
        <w:spacing w:line="360" w:lineRule="auto" w:after="40"/>
      </w:pPr>
      <w:r>
        <w:t>区分风险成因、治理措施和结果后果：监管碎片化、跨境活动属于风险因素，治理与合规属于应对措施；题干所问的“巨大成本”是风险实现后的结果，教材明确对应经济与社会后果。另需注意，在线游戏“易受金融犯罪风险影响”不等于在线游戏本身就是金融犯罪。</w:t>
      </w:r>
    </w:p>
    <w:p>
      <w:pPr>
        <w:spacing w:line="360" w:lineRule="auto" w:after="120"/>
      </w:pPr>
      <w:r/>
    </w:p>
    <w:p>
      <w:pPr>
        <w:spacing w:line="360" w:lineRule="auto" w:after="40"/>
      </w:pPr>
      <w:r>
        <w:t>7. 一家赌场的合规部门正在审查近期的交易，并已发现了一些可能需要进一步调查的活动。哪笔交易需要进一步调查？</w:t>
      </w:r>
    </w:p>
    <w:p>
      <w:pPr>
        <w:spacing w:line="360" w:lineRule="auto" w:after="20"/>
      </w:pPr>
      <w:r>
        <w:t>A.一位常去赌场的赌客，每次存入少量现金，却总是要求将赢来的钱换成大额支票提现</w:t>
      </w:r>
    </w:p>
    <w:p>
      <w:pPr>
        <w:spacing w:line="360" w:lineRule="auto" w:after="20"/>
      </w:pPr>
      <w:r>
        <w:t>B.一群游客用信用卡购买筹码，参与高额赌局，然后套现</w:t>
      </w:r>
    </w:p>
    <w:p>
      <w:pPr>
        <w:spacing w:line="360" w:lineRule="auto" w:after="20"/>
      </w:pPr>
      <w:r>
        <w:t>C.一名玩家使用现金和从国际账户通过电汇转入的5万美元购买筹码，但并未参与赌博，随后将筹码全部提现</w:t>
      </w:r>
    </w:p>
    <w:p>
      <w:pPr>
        <w:spacing w:line="360" w:lineRule="auto" w:after="20"/>
      </w:pPr>
      <w:r>
        <w:t>D.偶尔光顾的玩家，使用与国外账户关联的预付借记卡玩低注额的游戏</w:t>
      </w:r>
    </w:p>
    <w:p>
      <w:pPr>
        <w:spacing w:line="360" w:lineRule="auto" w:after="40"/>
      </w:pPr>
      <w:r>
        <w:t>答案:C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比较赌场交易风险信号并识别应优先调查的筹码兑现模式</w:t>
      </w:r>
    </w:p>
    <w:p>
      <w:pPr>
        <w:spacing w:line="360" w:lineRule="auto" w:after="40"/>
      </w:pPr>
      <w:r>
        <w:rPr>
          <w:b/>
          <w:shd w:fill="D6E4F0" w:val="clear"/>
        </w:rPr>
        <w:t>核心解析：</w:t>
      </w:r>
    </w:p>
    <w:p>
      <w:pPr>
        <w:spacing w:line="360" w:lineRule="auto" w:after="40"/>
      </w:pPr>
      <w:r>
        <w:t>教材描述的赌场洗钱方式包括：用非法资金购买筹码，短暂赌博后兑现；赌场和在线博彩运营商也可能面临客户将非法资金转换为筹码、仅进行极少量游戏的风险</w:t>
      </w:r>
      <w:r>
        <w:rPr>
          <w:sz w:val="15"/>
          <w:vertAlign w:val="superscript"/>
        </w:rPr>
        <w:t>P120</w:t>
      </w:r>
      <w:r>
        <w:t>。选项C中，玩家用现金和国际账户电汇转入的资金购买5万美元筹码，完全没有赌博便将筹码全部兑现。在给定选项中，这种</w:t>
      </w:r>
      <w:r>
        <w:rPr>
          <w:b/>
        </w:rPr>
        <w:t>“大额购入筹码—没有实际游戏—全部兑现”</w:t>
      </w:r>
      <w:r>
        <w:t>的组合与教材所述风险模式最直接匹配，因此C是风险信号最集中的交易。</w:t>
      </w:r>
    </w:p>
    <w:p>
      <w:pPr>
        <w:spacing w:line="360" w:lineRule="auto" w:after="40"/>
      </w:pPr>
      <w:r>
        <w:t>这里的判断是风险匹配，而不是预先认定该玩家的资金一定属于非法所得。现金与国际电汇并用增加了交易背景的复杂性，但决定C优先级的核心事实是购买大量筹码后完全不赌博并全部兑现。</w:t>
      </w:r>
    </w:p>
    <w:p>
      <w:pPr>
        <w:spacing w:line="360" w:lineRule="auto" w:after="40"/>
      </w:pPr>
      <w:r>
        <w:rPr>
          <w:b/>
          <w:shd w:fill="D6E4F0" w:val="clear"/>
        </w:rPr>
        <w:t>教材原句：</w:t>
      </w:r>
    </w:p>
    <w:p>
      <w:pPr>
        <w:spacing w:line="360" w:lineRule="auto" w:after="40"/>
      </w:pPr>
      <w:r>
        <w:t>"Criminals can anonymously purchase chips with illicit funds, gamble briefly, and cash out, effectively "cleaning" their money."</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A同样具有调查价值：少量现金投入却持续以大额支票兑现，其金额关系和重复模式需要核实；教材要求审查同一客户的过往交易模式</w:t>
      </w:r>
      <w:r>
        <w:rPr>
          <w:sz w:val="15"/>
          <w:vertAlign w:val="superscript"/>
        </w:rPr>
        <w:t>P337</w:t>
      </w:r>
      <w:r>
        <w:t>。但与C相比，A没有明确显示完全不赌博或仅进行形式性赌博，因此与教材“筹码转换后极少游戏即兑现”的直接匹配程度较低</w:t>
      </w:r>
      <w:r>
        <w:rPr>
          <w:sz w:val="15"/>
          <w:vertAlign w:val="superscript"/>
        </w:rPr>
        <w:t>P120</w:t>
      </w:r>
      <w:r>
        <w:t>。按题干原文，A不能被视为当然正常，只是C的风险信号更集中。</w:t>
      </w:r>
    </w:p>
    <w:p>
      <w:pPr>
        <w:spacing w:line="360" w:lineRule="auto" w:after="40"/>
      </w:pPr>
      <w:r>
        <w:rPr>
          <w:b/>
          <w:shd w:fill="D6E4F0" w:val="clear"/>
        </w:rPr>
        <w:t>B项错误：</w:t>
      </w:r>
    </w:p>
    <w:p>
      <w:pPr>
        <w:spacing w:line="360" w:lineRule="auto" w:after="40"/>
      </w:pPr>
      <w:r>
        <w:t>信用卡账户可能被用于洗钱的离析和融合阶段</w:t>
      </w:r>
      <w:r>
        <w:rPr>
          <w:sz w:val="15"/>
          <w:vertAlign w:val="superscript"/>
        </w:rPr>
        <w:t>P69</w:t>
      </w:r>
      <w:r>
        <w:t>，因此使用信用卡并不当然代表交易正常。不过B中的游客实际参与了高额赌局，题干没有显示筹码购买和兑现缺少博彩目的；相比之下，C完全没有赌博行为，更直接符合本题所考查的筹码转换风险模式</w:t>
      </w:r>
      <w:r>
        <w:rPr>
          <w:sz w:val="15"/>
          <w:vertAlign w:val="superscript"/>
        </w:rPr>
        <w:t>P120</w:t>
      </w:r>
      <w:r>
        <w:t>。</w:t>
      </w:r>
    </w:p>
    <w:p>
      <w:pPr>
        <w:spacing w:line="360" w:lineRule="auto" w:after="40"/>
      </w:pPr>
      <w:r>
        <w:rPr>
          <w:b/>
          <w:shd w:fill="D6E4F0" w:val="clear"/>
        </w:rPr>
        <w:t>D项错误：</w:t>
      </w:r>
    </w:p>
    <w:p>
      <w:pPr>
        <w:spacing w:line="360" w:lineRule="auto" w:after="40"/>
      </w:pPr>
      <w:r>
        <w:t>教材指出，预付卡的可转让性可能带来较高洗钱风险，匿名购买、充值和较低的KYC要求也可能使其受到滥用</w:t>
      </w:r>
      <w:r>
        <w:rPr>
          <w:sz w:val="15"/>
          <w:vertAlign w:val="superscript"/>
        </w:rPr>
        <w:t>P68</w:t>
      </w:r>
      <w:r>
        <w:t>。但教材同时区分预付卡与借记卡，指出预付卡“不与银行账户关联”</w:t>
      </w:r>
      <w:r>
        <w:rPr>
          <w:sz w:val="15"/>
          <w:vertAlign w:val="superscript"/>
        </w:rPr>
        <w:t>P68</w:t>
      </w:r>
      <w:r>
        <w:t>；因此D中“预付借记卡”与“关联国外账户”的表述本身不严谨。即使按预付卡理解，D只描述低注额游戏，没有出现C所示的大额购入筹码后不赌博即全部兑现，风险信号不如C集中。</w:t>
      </w:r>
    </w:p>
    <w:p>
      <w:pPr>
        <w:spacing w:line="360" w:lineRule="auto" w:after="40"/>
      </w:pPr>
      <w:r>
        <w:rPr>
          <w:b/>
          <w:shd w:fill="D6E4F0" w:val="clear"/>
        </w:rPr>
        <w:t>易错提醒：</w:t>
      </w:r>
    </w:p>
    <w:p>
      <w:pPr>
        <w:spacing w:line="360" w:lineRule="auto" w:after="40"/>
      </w:pPr>
      <w:r>
        <w:t>“具有调查价值”不等于“在单选题中最符合”。A的重复大额支票兑现同样需要结合交易历史、赌博记录和资金来源核实</w:t>
      </w:r>
      <w:r>
        <w:rPr>
          <w:sz w:val="15"/>
          <w:vertAlign w:val="superscript"/>
        </w:rPr>
        <w:t>P337</w:t>
      </w:r>
      <w:r>
        <w:t>；D的预付卡风险也不能因金额较小而完全排除</w:t>
      </w:r>
      <w:r>
        <w:rPr>
          <w:sz w:val="15"/>
          <w:vertAlign w:val="superscript"/>
        </w:rPr>
        <w:t>P68</w:t>
      </w:r>
      <w:r>
        <w:t>。C之所以更符合，是因为“大额购入筹码、完全不赌博、全部兑现”同时出现，与教材描述的赌场筹码转换风险模式最直接匹配</w:t>
      </w:r>
      <w:r>
        <w:rPr>
          <w:sz w:val="15"/>
          <w:vertAlign w:val="superscript"/>
        </w:rPr>
        <w:t>P120</w:t>
      </w:r>
      <w:r>
        <w:t>。若按“需要进一步调查”的字面理解，A也可能需要调查；因此C应理解为给定选项中风险信号最集中、最应优先关注的选项。</w:t>
      </w:r>
    </w:p>
    <w:p>
      <w:pPr>
        <w:spacing w:line="360" w:lineRule="auto" w:after="120"/>
      </w:pPr>
      <w:r/>
    </w:p>
    <w:p>
      <w:pPr>
        <w:spacing w:line="360" w:lineRule="auto" w:after="40"/>
      </w:pPr>
      <w:r>
        <w:t>8. 一位房地产买家在短时间内通过一系列交易用现金购买了多处高价值房产,且没有任何明确的经济理由.以下哪一项是房地产领域中这种行为最有可能涉及的洗钱风险？</w:t>
      </w:r>
    </w:p>
    <w:p>
      <w:pPr>
        <w:spacing w:line="360" w:lineRule="auto" w:after="20"/>
      </w:pPr>
      <w:r>
        <w:t>A.买方正在利用高价值的房地产交易来掩盖资金来源</w:t>
      </w:r>
    </w:p>
    <w:p>
      <w:pPr>
        <w:spacing w:line="360" w:lineRule="auto" w:after="20"/>
      </w:pPr>
      <w:r>
        <w:t>B.买方正通过安排付款方式迅速实现其投资组合的多元化,以利用房地产现金交易的流动性.</w:t>
      </w:r>
    </w:p>
    <w:p>
      <w:pPr>
        <w:spacing w:line="360" w:lineRule="auto" w:after="20"/>
      </w:pPr>
      <w:r>
        <w:t>C.买方利用有利的市场条件,通过现金购买的方式,在竞争激烈的房地产市场中击败竞争对手.</w:t>
      </w:r>
    </w:p>
    <w:p>
      <w:pPr>
        <w:spacing w:line="360" w:lineRule="auto" w:after="20"/>
      </w:pPr>
      <w:r>
        <w:t>D.买方是一家房地产开发商,正与位于高风险司法管辖区的业务伙伴一起收购多处房产,以用于潜在的再开发项目.</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识别利用高价值房地产交易掩饰资金来源的洗钱风险</w:t>
      </w:r>
    </w:p>
    <w:p>
      <w:pPr>
        <w:spacing w:line="360" w:lineRule="auto" w:after="40"/>
      </w:pPr>
      <w:r>
        <w:rPr>
          <w:b/>
          <w:shd w:fill="D6E4F0" w:val="clear"/>
        </w:rPr>
        <w:t>核心解析：</w:t>
      </w:r>
    </w:p>
    <w:p>
      <w:pPr>
        <w:spacing w:line="360" w:lineRule="auto" w:after="40"/>
      </w:pPr>
      <w:r>
        <w:t>选项A的含义是“买方利用高价值房地产交易掩饰资金来源”。房地产可被用于购买高价值有形资产，将非法资金融入合法经济；房地产交易也为</w:t>
      </w:r>
      <w:r>
        <w:rPr>
          <w:b/>
        </w:rPr>
        <w:t>掩饰资金来源</w:t>
      </w:r>
      <w:r>
        <w:t>提供机会</w:t>
      </w:r>
      <w:r>
        <w:rPr>
          <w:sz w:val="15"/>
          <w:vertAlign w:val="superscript"/>
        </w:rPr>
        <w:t>P121</w:t>
      </w:r>
      <w:r>
        <w:t>。题干同时给出现金支付、短期内连续交易和缺乏明确经济理由：现金较通过金融机构支付更难追踪，全部或主要以现金购房属于红旗信号，一系列快速房地产交易也应引起怀疑</w:t>
      </w:r>
      <w:r>
        <w:rPr>
          <w:sz w:val="15"/>
          <w:vertAlign w:val="superscript"/>
        </w:rPr>
        <w:t>P122</w:t>
      </w:r>
      <w:r>
        <w:t>。这些事实共同指向选项A所述的资金来源掩饰风险。</w:t>
      </w:r>
    </w:p>
    <w:p>
      <w:pPr>
        <w:spacing w:line="360" w:lineRule="auto" w:after="40"/>
      </w:pPr>
      <w:r>
        <w:rPr>
          <w:b/>
          <w:shd w:fill="D6E4F0" w:val="clear"/>
        </w:rPr>
        <w:t>教材原句：</w:t>
      </w:r>
    </w:p>
    <w:p>
      <w:pPr>
        <w:spacing w:line="360" w:lineRule="auto" w:after="40"/>
      </w:pPr>
      <w:r>
        <w:t>"Criminals can utilize real estate to integrate illicit funds into the legitimate economy by purchasing tangible assets, typically of significant value."</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“安排付款方式以实现投资组合多元化”描述的是一种投资策略，而不是对题干所示洗钱风险的解释。题干强调买方“无任何明确经济理由”，这也与有明确目的的投资组合多元化相矛盾。</w:t>
      </w:r>
    </w:p>
    <w:p>
      <w:pPr>
        <w:spacing w:line="360" w:lineRule="auto" w:after="40"/>
      </w:pPr>
      <w:r>
        <w:rPr>
          <w:b/>
          <w:shd w:fill="D6E4F0" w:val="clear"/>
        </w:rPr>
        <w:t>C项错误：</w:t>
      </w:r>
    </w:p>
    <w:p>
      <w:pPr>
        <w:spacing w:line="360" w:lineRule="auto" w:after="40"/>
      </w:pPr>
      <w:r>
        <w:t>“利用有利市场条件”“现金购买”“击败竞争对手”这些短语描绘的是市场竞争中的交易策略，与洗钱语境基本不相关。洗钱关注的核心问题是资金来源是否合法、交易目的是否为掩盖非法来源。题干中现金购房的部分特征虽然在正常商业环境中也可能出现</w:t>
      </w:r>
      <w:r>
        <w:rPr>
          <w:sz w:val="15"/>
          <w:vertAlign w:val="superscript"/>
        </w:rPr>
        <w:t>P122</w:t>
      </w:r>
      <w:r>
        <w:t>，但本题需要判断的是洗钱风险，教材对洗钱的核心定义中并不涉及市场竞争或竞价行为。</w:t>
      </w:r>
    </w:p>
    <w:p>
      <w:pPr>
        <w:spacing w:line="360" w:lineRule="auto" w:after="40"/>
      </w:pPr>
      <w:r>
        <w:rPr>
          <w:b/>
          <w:shd w:fill="D6E4F0" w:val="clear"/>
        </w:rPr>
        <w:t>D项错误：</w:t>
      </w:r>
    </w:p>
    <w:p>
      <w:pPr>
        <w:spacing w:line="360" w:lineRule="auto" w:after="40"/>
      </w:pPr>
      <w:r>
        <w:t>题干没有说明买方是“房地产开发商”，也没有出现“高风险司法管辖区的业务伙伴”或再开发计划。D项另设了一组情景事实，不能解释题干已经给出的现金、高价值、短期连续购买且无明确经济理由；A项与这些既有事实的对应更直接。</w:t>
      </w:r>
    </w:p>
    <w:p>
      <w:pPr>
        <w:spacing w:line="360" w:lineRule="auto" w:after="40"/>
      </w:pPr>
      <w:r>
        <w:rPr>
          <w:b/>
          <w:shd w:fill="D6E4F0" w:val="clear"/>
        </w:rPr>
        <w:t>易错提醒：</w:t>
      </w:r>
    </w:p>
    <w:p>
      <w:pPr>
        <w:spacing w:line="360" w:lineRule="auto" w:after="40"/>
      </w:pPr>
      <w:r>
        <w:t>现金购房本身不是洗钱的充分证明，但“主要使用现金”与“短期内一系列快速交易”均属于教材提示的风险特征</w:t>
      </w:r>
      <w:r>
        <w:rPr>
          <w:sz w:val="15"/>
          <w:vertAlign w:val="superscript"/>
        </w:rPr>
        <w:t>P122</w:t>
      </w:r>
      <w:r>
        <w:t>。本题还叠加了高价值和缺乏明确经济理由，因此应判断最可能涉及的风险，而不是把任一单项特征当作定罪结论。</w:t>
      </w:r>
    </w:p>
    <w:p>
      <w:pPr>
        <w:spacing w:line="360" w:lineRule="auto" w:after="120"/>
      </w:pPr>
      <w:r/>
    </w:p>
    <w:p>
      <w:pPr>
        <w:spacing w:line="360" w:lineRule="auto" w:after="40"/>
      </w:pPr>
      <w:r>
        <w:t>9. 当信托和公司服务提供商（TCSP）与高风险国家有关联时，以下哪一项可能会立即引发金融犯罪风险关注？</w:t>
      </w:r>
    </w:p>
    <w:p>
      <w:pPr>
        <w:spacing w:line="360" w:lineRule="auto" w:after="20"/>
      </w:pPr>
      <w:r>
        <w:t>A.管理结构</w:t>
      </w:r>
    </w:p>
    <w:p>
      <w:pPr>
        <w:spacing w:line="360" w:lineRule="auto" w:after="20"/>
      </w:pPr>
      <w:r>
        <w:t>B.治理框架</w:t>
      </w:r>
    </w:p>
    <w:p>
      <w:pPr>
        <w:spacing w:line="360" w:lineRule="auto" w:after="20"/>
      </w:pPr>
      <w:r>
        <w:t>C.资产结构</w:t>
      </w:r>
    </w:p>
    <w:p>
      <w:pPr>
        <w:spacing w:line="360" w:lineRule="auto" w:after="20"/>
      </w:pPr>
      <w:r>
        <w:t>D.资金来源</w:t>
      </w:r>
    </w:p>
    <w:p>
      <w:pPr>
        <w:spacing w:line="360" w:lineRule="auto" w:after="40"/>
      </w:pPr>
      <w:r>
        <w:t>答案:D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高风险司法管辖区背景下TCSP的资金来源风险</w:t>
      </w:r>
    </w:p>
    <w:p>
      <w:pPr>
        <w:spacing w:line="360" w:lineRule="auto" w:after="40"/>
      </w:pPr>
      <w:r>
        <w:rPr>
          <w:b/>
          <w:shd w:fill="D6E4F0" w:val="clear"/>
        </w:rPr>
        <w:t>核心解析：</w:t>
      </w:r>
    </w:p>
    <w:p>
      <w:pPr>
        <w:spacing w:line="360" w:lineRule="auto" w:after="40"/>
      </w:pPr>
      <w:r>
        <w:t>信托与公司服务提供商（TCSP）设立的结构会</w:t>
      </w:r>
      <w:r>
        <w:rPr>
          <w:b/>
        </w:rPr>
        <w:t>掩盖受益所有人和资金来源</w:t>
      </w:r>
      <w:r>
        <w:t>（obscure beneficial ownership and the origin of funds）</w:t>
      </w:r>
      <w:r>
        <w:rPr>
          <w:sz w:val="15"/>
          <w:vertAlign w:val="superscript"/>
        </w:rPr>
        <w:t>P120</w:t>
      </w:r>
      <w:r>
        <w:t>，并可能被犯罪分子用于安排交易，以“伪装非法资金的来源”（disguise the origin of illicit funds）</w:t>
      </w:r>
      <w:r>
        <w:rPr>
          <w:sz w:val="15"/>
          <w:vertAlign w:val="superscript"/>
        </w:rPr>
        <w:t>P126</w:t>
      </w:r>
      <w:r>
        <w:t>。客户来自或经营于FATF灰黑名单等高风险司法管辖区，也会提高核查的必要性</w:t>
      </w:r>
      <w:r>
        <w:rPr>
          <w:sz w:val="15"/>
          <w:vertAlign w:val="superscript"/>
        </w:rPr>
        <w:t>P307</w:t>
      </w:r>
      <w:r>
        <w:t>。不过，高风险司法管辖区关联并不表示资金已经属于非法所得。在四个选项中，D项“资金来源”与教材描述TCSP风险时使用的“origin of funds”直接对应，最可能立即引发金融犯罪风险关注。</w:t>
      </w:r>
    </w:p>
    <w:p>
      <w:pPr>
        <w:spacing w:line="360" w:lineRule="auto" w:after="40"/>
      </w:pPr>
      <w:r>
        <w:rPr>
          <w:b/>
          <w:shd w:fill="D6E4F0" w:val="clear"/>
        </w:rPr>
        <w:t>教材原句：</w:t>
      </w:r>
    </w:p>
    <w:p>
      <w:pPr>
        <w:spacing w:line="360" w:lineRule="auto" w:after="40"/>
      </w:pPr>
      <w:r>
        <w:t>"Trust or company service providers: These providers create structures that obscure beneficial ownership and the origin of funds, making them attractive to individuals seeking to launder money."</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管理结构可能是一般性尽职调查的考察内容，但题干没有给出管理层复杂、异常或不透明等具体事实。相比之下，教材直接将TCSP与掩盖资金来源联系起来</w:t>
      </w:r>
      <w:r>
        <w:rPr>
          <w:sz w:val="15"/>
          <w:vertAlign w:val="superscript"/>
        </w:rPr>
        <w:t>P120</w:t>
      </w:r>
      <w:r>
        <w:t>，因此D项匹配度更高。</w:t>
      </w:r>
    </w:p>
    <w:p>
      <w:pPr>
        <w:spacing w:line="360" w:lineRule="auto" w:after="40"/>
      </w:pPr>
      <w:r>
        <w:rPr>
          <w:b/>
          <w:shd w:fill="D6E4F0" w:val="clear"/>
        </w:rPr>
        <w:t>B项错误：</w:t>
      </w:r>
    </w:p>
    <w:p>
      <w:pPr>
        <w:spacing w:line="360" w:lineRule="auto" w:after="40"/>
      </w:pPr>
      <w:r>
        <w:t>治理框架可以影响机构的风险管理能力，但题干没有描述治理失效或控制缺陷。教材对TCSP被滥用方式的直接描述指向资金来源</w:t>
      </w:r>
      <w:r>
        <w:rPr>
          <w:sz w:val="15"/>
          <w:vertAlign w:val="superscript"/>
        </w:rPr>
        <w:t>P120、P126</w:t>
      </w:r>
      <w:r>
        <w:t>，而不是一般性的治理框架。</w:t>
      </w:r>
    </w:p>
    <w:p>
      <w:pPr>
        <w:spacing w:line="360" w:lineRule="auto" w:after="40"/>
      </w:pPr>
      <w:r>
        <w:rPr>
          <w:b/>
          <w:shd w:fill="D6E4F0" w:val="clear"/>
        </w:rPr>
        <w:t>C项错误：</w:t>
      </w:r>
    </w:p>
    <w:p>
      <w:pPr>
        <w:spacing w:line="360" w:lineRule="auto" w:after="40"/>
      </w:pPr>
      <w:r>
        <w:t>教材确实提到TCSP可能被用于掩盖资产的真实所有权</w:t>
      </w:r>
      <w:r>
        <w:rPr>
          <w:sz w:val="15"/>
          <w:vertAlign w:val="superscript"/>
        </w:rPr>
        <w:t>P126</w:t>
      </w:r>
      <w:r>
        <w:t>，所以资产方面并非完全无关；但“资产结构”不等于“资产的真实所有权”，也不如D项“资金来源”与教材原文直接对应。</w:t>
      </w:r>
    </w:p>
    <w:p>
      <w:pPr>
        <w:spacing w:line="360" w:lineRule="auto" w:after="40"/>
      </w:pPr>
      <w:r>
        <w:rPr>
          <w:b/>
          <w:shd w:fill="D6E4F0" w:val="clear"/>
        </w:rPr>
        <w:t>易错提醒：</w:t>
      </w:r>
    </w:p>
    <w:p>
      <w:pPr>
        <w:spacing w:line="360" w:lineRule="auto" w:after="40"/>
      </w:pPr>
      <w:r>
        <w:t>高风险司法管辖区关联是风险因素，不是资金违法性质的证明。讨论的是客户来自或经营于高风险司法管辖区的风险评估</w:t>
      </w:r>
      <w:r>
        <w:rPr>
          <w:sz w:val="15"/>
          <w:vertAlign w:val="superscript"/>
        </w:rPr>
        <w:t>P307</w:t>
      </w:r>
      <w:r>
        <w:t>，只能作为本题的一般地域风险背景；选择D项的直接依据仍是教材对TCSP可能掩盖“资金来源”的描述</w:t>
      </w:r>
      <w:r>
        <w:rPr>
          <w:sz w:val="15"/>
          <w:vertAlign w:val="superscript"/>
        </w:rPr>
        <w:t>P120</w:t>
      </w:r>
      <w:r>
        <w:t>。</w:t>
      </w:r>
    </w:p>
    <w:p>
      <w:pPr>
        <w:spacing w:line="360" w:lineRule="auto" w:after="120"/>
      </w:pPr>
      <w:r/>
    </w:p>
    <w:p>
      <w:pPr>
        <w:spacing w:line="360" w:lineRule="auto" w:after="40"/>
      </w:pPr>
      <w:r>
        <w:t>10. 一家为各类企业提供多种服务的信托和公司服务提供商接到了一位客户的要求,该客户有意成立一家新公司.客户请求协助办理公司注册手续,提供本地办公地址,以及提供年度维护服务,并指定人员担任新公司的正式职务.以下哪项服务涉及更高的洗钱风险？</w:t>
      </w:r>
    </w:p>
    <w:p>
      <w:pPr>
        <w:spacing w:line="360" w:lineRule="auto" w:after="20"/>
      </w:pPr>
      <w:r>
        <w:t>A.任命个人担任公司的官方职务</w:t>
      </w:r>
    </w:p>
    <w:p>
      <w:pPr>
        <w:spacing w:line="360" w:lineRule="auto" w:after="20"/>
      </w:pPr>
      <w:r>
        <w:t>B.年度维护服务</w:t>
      </w:r>
    </w:p>
    <w:p>
      <w:pPr>
        <w:spacing w:line="360" w:lineRule="auto" w:after="20"/>
      </w:pPr>
      <w:r>
        <w:t>C.提供本地营业地址</w:t>
      </w:r>
    </w:p>
    <w:p>
      <w:pPr>
        <w:spacing w:line="360" w:lineRule="auto" w:after="20"/>
      </w:pPr>
      <w:r>
        <w:t>D.公司注册服务</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识别名义服务利用第三方隐藏受益所有人身份的高洗钱风险</w:t>
      </w:r>
    </w:p>
    <w:p>
      <w:pPr>
        <w:spacing w:line="360" w:lineRule="auto" w:after="40"/>
      </w:pPr>
      <w:r>
        <w:rPr>
          <w:b/>
          <w:shd w:fill="D6E4F0" w:val="clear"/>
        </w:rPr>
        <w:t>核心解析：</w:t>
      </w:r>
    </w:p>
    <w:p>
      <w:pPr>
        <w:spacing w:line="360" w:lineRule="auto" w:after="40"/>
      </w:pPr>
      <w:r>
        <w:t>信托与公司服务提供商（TCSP）常提供</w:t>
      </w:r>
      <w:r>
        <w:rPr>
          <w:b/>
        </w:rPr>
        <w:t>名义服务</w:t>
      </w:r>
      <w:r>
        <w:t>（nominee services），即由第三方代表客户在所有权和管理角色中担任董事、高管或股东</w:t>
      </w:r>
      <w:r>
        <w:rPr>
          <w:sz w:val="15"/>
          <w:vertAlign w:val="superscript"/>
        </w:rPr>
        <w:t>P127</w:t>
      </w:r>
      <w:r>
        <w:t>。名义董事或股东可被用于</w:t>
      </w:r>
      <w:r>
        <w:rPr>
          <w:b/>
        </w:rPr>
        <w:t>隐藏最终受益所有人（UBO）的身份</w:t>
      </w:r>
      <w:r>
        <w:t>，形成一层匿名性，从而通过模糊化手段增加洗钱风险</w:t>
      </w:r>
      <w:r>
        <w:rPr>
          <w:sz w:val="15"/>
          <w:vertAlign w:val="superscript"/>
        </w:rPr>
        <w:t>P127</w:t>
      </w:r>
      <w:r>
        <w:t>。题干中客户请求“指定人员担任新公司的法定职务”（designation of individuals to serve in official capacities），该服务本质即为提供名义董事或高管。相较于公司注册、地址提供、年度维护等常规行政服务，名义服务直接创造了一个可将真实控制人隐藏在法律文件背后的结构，这正是教材明确指出会“增加洗钱风险”的核心环节。由此可推断，四项服务中任命个人担任官方职务涉及更高的洗钱风险。</w:t>
      </w:r>
    </w:p>
    <w:p>
      <w:pPr>
        <w:spacing w:line="360" w:lineRule="auto" w:after="40"/>
      </w:pPr>
      <w:r>
        <w:rPr>
          <w:b/>
          <w:shd w:fill="D6E4F0" w:val="clear"/>
        </w:rPr>
        <w:t>教材原句：</w:t>
      </w:r>
    </w:p>
    <w:p>
      <w:pPr>
        <w:spacing w:line="360" w:lineRule="auto" w:after="40"/>
      </w:pPr>
      <w:r>
        <w:t>"These nominee directors or shareholders can be used to conceal the identity of the UBO or operator of the business, creating a layer of anonymity that heightens money laundering risks through obfuscation."</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“年度维护服务”属于常规行政支持，本身不涉及隐藏所有权或控制人的安排。相比之下，A所述名义服务可能掩盖UBO身份</w:t>
      </w:r>
      <w:r>
        <w:rPr>
          <w:sz w:val="15"/>
          <w:vertAlign w:val="superscript"/>
        </w:rPr>
        <w:t>P127</w:t>
      </w:r>
      <w:r>
        <w:t>，洗钱风险更直接。</w:t>
      </w:r>
    </w:p>
    <w:p>
      <w:pPr>
        <w:spacing w:line="360" w:lineRule="auto" w:after="40"/>
      </w:pPr>
      <w:r>
        <w:rPr>
          <w:b/>
          <w:shd w:fill="D6E4F0" w:val="clear"/>
        </w:rPr>
        <w:t>C项错误：</w:t>
      </w:r>
    </w:p>
    <w:p>
      <w:pPr>
        <w:spacing w:line="360" w:lineRule="auto" w:after="40"/>
      </w:pPr>
      <w:r>
        <w:t>“提供本地营业地址”属于公司注册流程中的基础联系信息安排，本身不涉及所有权或管理层的匿名化。相比之下，名义服务通过第三方担任董事、高管或股东，更可能隐藏UBO身份</w:t>
      </w:r>
      <w:r>
        <w:rPr>
          <w:sz w:val="15"/>
          <w:vertAlign w:val="superscript"/>
        </w:rPr>
        <w:t>P127</w:t>
      </w:r>
      <w:r>
        <w:t>。</w:t>
      </w:r>
    </w:p>
    <w:p>
      <w:pPr>
        <w:spacing w:line="360" w:lineRule="auto" w:after="40"/>
      </w:pPr>
      <w:r>
        <w:rPr>
          <w:b/>
          <w:shd w:fill="D6E4F0" w:val="clear"/>
        </w:rPr>
        <w:t>D项错误：</w:t>
      </w:r>
    </w:p>
    <w:p>
      <w:pPr>
        <w:spacing w:line="360" w:lineRule="auto" w:after="40"/>
      </w:pPr>
      <w:r>
        <w:t>“公司注册服务”是TCSP的核心业务之一，教材虽提及犯罪分子可能利用TCSP掩盖真实所有权，但该表述指向的是整体行业风险，而非注册服务本身。相比之下，题干中“指定人员担任法定职务”精准对应教材对名义服务的定义及其直接增加洗钱风险的结论</w:t>
      </w:r>
      <w:r>
        <w:rPr>
          <w:sz w:val="15"/>
          <w:vertAlign w:val="superscript"/>
        </w:rPr>
        <w:t>P127</w:t>
      </w:r>
      <w:r>
        <w:t>，匹配度更直接。</w:t>
      </w:r>
    </w:p>
    <w:p>
      <w:pPr>
        <w:spacing w:line="360" w:lineRule="auto" w:after="40"/>
      </w:pPr>
      <w:r>
        <w:rPr>
          <w:b/>
          <w:shd w:fill="D6E4F0" w:val="clear"/>
        </w:rPr>
        <w:t>易错提醒：</w:t>
      </w:r>
    </w:p>
    <w:p>
      <w:pPr>
        <w:spacing w:line="360" w:lineRule="auto" w:after="40"/>
      </w:pPr>
      <w:r>
        <w:t>注意区分“名义服务”与“现成公司”：名义服务是提供第三方代持董事或股东，现成公司是预注册公司出售给客户</w:t>
      </w:r>
      <w:r>
        <w:rPr>
          <w:sz w:val="15"/>
          <w:vertAlign w:val="superscript"/>
        </w:rPr>
        <w:t>P127</w:t>
      </w:r>
      <w:r>
        <w:t>。两者均可隐藏UBO，但题干场景明确是“指定人员担任法定职务”而非购买预注册公司。另外，名义安排本身在部分地区合法，但其洗钱风险显著高于其他行政服务——判断依据是教材是否将其标注为“增加洗钱风险”</w:t>
      </w:r>
      <w:r>
        <w:rPr>
          <w:sz w:val="15"/>
          <w:vertAlign w:val="superscript"/>
        </w:rPr>
        <w:t>P127</w:t>
      </w:r>
      <w:r>
        <w:t>，而非该服务是否合法。</w:t>
      </w:r>
    </w:p>
    <w:p>
      <w:pPr>
        <w:spacing w:line="360" w:lineRule="auto" w:after="120"/>
      </w:pPr>
      <w:r/>
    </w:p>
    <w:p>
      <w:pPr>
        <w:spacing w:line="360" w:lineRule="auto" w:after="40"/>
      </w:pPr>
      <w:r>
        <w:t>11. 以下哪一项是赌场和赌博业特有的更广泛风险？</w:t>
      </w:r>
    </w:p>
    <w:p>
      <w:pPr>
        <w:spacing w:line="360" w:lineRule="auto" w:after="20"/>
      </w:pPr>
      <w:r>
        <w:t>A.交易阈值低</w:t>
      </w:r>
    </w:p>
    <w:p>
      <w:pPr>
        <w:spacing w:line="360" w:lineRule="auto" w:after="20"/>
      </w:pPr>
      <w:r>
        <w:t>B.跨境交易</w:t>
      </w:r>
    </w:p>
    <w:p>
      <w:pPr>
        <w:spacing w:line="360" w:lineRule="auto" w:after="20"/>
      </w:pPr>
      <w:r>
        <w:t>C.客户身份识别政策和程序薄弱</w:t>
      </w:r>
    </w:p>
    <w:p>
      <w:pPr>
        <w:spacing w:line="360" w:lineRule="auto" w:after="20"/>
      </w:pPr>
      <w:r>
        <w:t>D.频繁使用现金</w:t>
      </w:r>
    </w:p>
    <w:p>
      <w:pPr>
        <w:spacing w:line="360" w:lineRule="auto" w:after="40"/>
      </w:pPr>
      <w:r>
        <w:t>答案:B</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rPr>
          <w:b/>
        </w:rPr>
        <w:t>识别博彩业的行业级固有风险与场景性控制风险</w:t>
      </w:r>
    </w:p>
    <w:p>
      <w:pPr>
        <w:spacing w:line="360" w:lineRule="auto" w:after="40"/>
      </w:pPr>
      <w:r>
        <w:rPr>
          <w:b/>
          <w:shd w:fill="D6E4F0" w:val="clear"/>
        </w:rPr>
        <w:t>核心解析：</w:t>
      </w:r>
    </w:p>
    <w:p>
      <w:pPr>
        <w:spacing w:line="360" w:lineRule="auto" w:after="40"/>
      </w:pPr>
      <w:r>
        <w:t>教材先将博彩业界定为包括实体和虚拟赌场、网络博彩及赌博活动，随后明确指出博彩业具有伴随较高金融犯罪风险的独特行业特征；紧接着列出的具体特征包括监管环境碎片化、活动的</w:t>
      </w:r>
      <w:r>
        <w:rPr>
          <w:b/>
        </w:rPr>
        <w:t>跨境性质</w:t>
      </w:r>
      <w:r>
        <w:t>和准金融服务</w:t>
      </w:r>
      <w:r>
        <w:rPr>
          <w:sz w:val="15"/>
          <w:vertAlign w:val="superscript"/>
        </w:rPr>
        <w:t>P120</w:t>
      </w:r>
      <w:r>
        <w:t>。题干询问的是赌场和赌博业“特有的更广泛风险”，B“跨境交易”直接对应这一</w:t>
      </w:r>
      <w:r>
        <w:rPr>
          <w:b/>
        </w:rPr>
        <w:t>行业级分类</w:t>
      </w:r>
      <w:r>
        <w:t>，因此在教材框架下选B。D是实体赌场的现金密集型风险，C则来自赌团运营商KYC资料收集与共享不足的特定场景</w:t>
      </w:r>
      <w:r>
        <w:rPr>
          <w:sz w:val="15"/>
          <w:vertAlign w:val="superscript"/>
        </w:rPr>
        <w:t>P121</w:t>
      </w:r>
      <w:r>
        <w:t>，二者虽有教材依据，但都不如B贴合题干所要求的博彩业整体层级。</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教材讨论的是利用第三方和多笔交易进行结构化，以规避报告门槛</w:t>
      </w:r>
      <w:r>
        <w:rPr>
          <w:sz w:val="15"/>
          <w:vertAlign w:val="superscript"/>
        </w:rPr>
        <w:t>P121</w:t>
      </w:r>
      <w:r>
        <w:t>，并不是“交易门槛低”这一属性。A没有对应教材描述的风险机制。</w:t>
      </w:r>
    </w:p>
    <w:p>
      <w:pPr>
        <w:spacing w:line="360" w:lineRule="auto" w:after="40"/>
      </w:pPr>
      <w:r>
        <w:rPr>
          <w:b/>
          <w:shd w:fill="D6E4F0" w:val="clear"/>
        </w:rPr>
        <w:t>C项错误：</w:t>
      </w:r>
    </w:p>
    <w:p>
      <w:pPr>
        <w:spacing w:line="360" w:lineRule="auto" w:after="40"/>
      </w:pPr>
      <w:r>
        <w:t>教材说的是赌团运营商很少收集并向赌场共享客户KYC资料，由此影响客户身份和资金来源透明度</w:t>
      </w:r>
      <w:r>
        <w:rPr>
          <w:sz w:val="15"/>
          <w:vertAlign w:val="superscript"/>
        </w:rPr>
        <w:t>P121</w:t>
      </w:r>
      <w:r>
        <w:t>。这支持特定赌团场景的KYC控制风险，但不能直接上升为整个赌场和赌博业普遍存在薄弱的KYC政策和程序。在线博彩在必要控制不足时身份欺诈风险会上升</w:t>
      </w:r>
      <w:r>
        <w:rPr>
          <w:sz w:val="15"/>
          <w:vertAlign w:val="superscript"/>
        </w:rPr>
        <w:t>P120</w:t>
      </w:r>
      <w:r>
        <w:t>，同样是条件性场景，而非全行业概括。</w:t>
      </w:r>
    </w:p>
    <w:p>
      <w:pPr>
        <w:spacing w:line="360" w:lineRule="auto" w:after="40"/>
      </w:pPr>
      <w:r>
        <w:rPr>
          <w:b/>
          <w:shd w:fill="D6E4F0" w:val="clear"/>
        </w:rPr>
        <w:t>D项错误：</w:t>
      </w:r>
    </w:p>
    <w:p>
      <w:pPr>
        <w:spacing w:line="360" w:lineRule="auto" w:after="40"/>
      </w:pPr>
      <w:r>
        <w:t>教材明确指出赌场因大量现金交易而特别容易遭受洗钱</w:t>
      </w:r>
      <w:r>
        <w:rPr>
          <w:sz w:val="15"/>
          <w:vertAlign w:val="superscript"/>
        </w:rPr>
        <w:t>P120</w:t>
      </w:r>
      <w:r>
        <w:t>；但该表述直接针对实体赌场的现金业务风险，且现金密集风险也见于其他行业</w:t>
      </w:r>
      <w:r>
        <w:rPr>
          <w:sz w:val="15"/>
          <w:vertAlign w:val="superscript"/>
        </w:rPr>
        <w:t>P65</w:t>
      </w:r>
      <w:r>
        <w:t>。相比之下，B出现在对整个博彩业独特行业特征的概括中，更符合题干的“更广泛”层级。</w:t>
      </w:r>
    </w:p>
    <w:p>
      <w:pPr>
        <w:spacing w:line="360" w:lineRule="auto" w:after="40"/>
      </w:pPr>
      <w:r>
        <w:rPr>
          <w:b/>
          <w:shd w:fill="D6E4F0" w:val="clear"/>
        </w:rPr>
        <w:t>易错提醒：</w:t>
      </w:r>
    </w:p>
    <w:p>
      <w:pPr>
        <w:spacing w:line="360" w:lineRule="auto" w:after="40"/>
      </w:pPr>
      <w:r>
        <w:t>要区分行业级固有风险与特定经营场景的控制缺陷：跨境活动是教材对博彩业独特特征的直接概括</w:t>
      </w:r>
      <w:r>
        <w:rPr>
          <w:sz w:val="15"/>
          <w:vertAlign w:val="superscript"/>
        </w:rPr>
        <w:t>P120</w:t>
      </w:r>
      <w:r>
        <w:t>；现金密集是实体赌场的业务风险</w:t>
      </w:r>
      <w:r>
        <w:rPr>
          <w:sz w:val="15"/>
          <w:vertAlign w:val="superscript"/>
        </w:rPr>
        <w:t>P120</w:t>
      </w:r>
      <w:r>
        <w:t>；KYC收集与共享不足则是赌团运营商场景中的控制问题</w:t>
      </w:r>
      <w:r>
        <w:rPr>
          <w:sz w:val="15"/>
          <w:vertAlign w:val="superscript"/>
        </w:rPr>
        <w:t>P121</w:t>
      </w:r>
      <w:r>
        <w:t>。</w:t>
      </w:r>
    </w:p>
    <w:p>
      <w:pPr>
        <w:spacing w:line="360" w:lineRule="auto" w:after="120"/>
      </w:pPr>
      <w:r/>
    </w:p>
    <w:p>
      <w:pPr>
        <w:spacing w:line="360" w:lineRule="auto" w:after="40"/>
      </w:pPr>
      <w:r>
        <w:t>12. 以下哪项陈述最能描述与守门人相关的金融犯罪风险？</w:t>
      </w:r>
    </w:p>
    <w:p>
      <w:pPr>
        <w:spacing w:line="360" w:lineRule="auto" w:after="20"/>
      </w:pPr>
      <w:r>
        <w:t>A.守门人掌握着专门的知识,这些知识可能被滥用,从而为非法资金的流动提供便利,并掩盖其客户参与非法活动的事实.</w:t>
      </w:r>
    </w:p>
    <w:p>
      <w:pPr>
        <w:spacing w:line="360" w:lineRule="auto" w:after="20"/>
      </w:pPr>
      <w:r>
        <w:t>B.守门人职位具有隐蔽性,这往往使其财富来源难以核实.</w:t>
      </w:r>
    </w:p>
    <w:p>
      <w:pPr>
        <w:spacing w:line="360" w:lineRule="auto" w:after="20"/>
      </w:pPr>
      <w:r>
        <w:t>C.守门人具有独特的关系结构,这使得确定最终受益人变得困难.</w:t>
      </w:r>
    </w:p>
    <w:p>
      <w:pPr>
        <w:spacing w:line="360" w:lineRule="auto" w:after="20"/>
      </w:pPr>
      <w:r>
        <w:t>D.守门人被赋予了重要的职能和行为准则,这可能有助于洗钱活动.</w:t>
      </w:r>
    </w:p>
    <w:p>
      <w:pPr>
        <w:spacing w:line="360" w:lineRule="auto" w:after="40"/>
      </w:pPr>
      <w:r>
        <w:t>答案:A</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识别守门人专业服务及中介角色被犯罪分子利用的风险</w:t>
      </w:r>
    </w:p>
    <w:p>
      <w:pPr>
        <w:spacing w:line="360" w:lineRule="auto" w:after="40"/>
      </w:pPr>
      <w:r>
        <w:rPr>
          <w:b/>
          <w:shd w:fill="D6E4F0" w:val="clear"/>
        </w:rPr>
        <w:t>核心解析：</w:t>
      </w:r>
    </w:p>
    <w:p>
      <w:pPr>
        <w:spacing w:line="360" w:lineRule="auto" w:after="40"/>
      </w:pPr>
      <w:r>
        <w:t>教材直接将DNFBP称为</w:t>
      </w:r>
      <w:r>
        <w:rPr>
          <w:b/>
        </w:rPr>
        <w:t>“gatekeepers”</w:t>
      </w:r>
      <w:r>
        <w:t>，并说明这些企业充当犯罪分子与金融系统之间的中介</w:t>
      </w:r>
      <w:r>
        <w:rPr>
          <w:sz w:val="15"/>
          <w:vertAlign w:val="superscript"/>
        </w:rPr>
        <w:t>P119</w:t>
      </w:r>
      <w:r>
        <w:t>。在缺乏保障措施时，它们可能被利用来</w:t>
      </w:r>
      <w:r>
        <w:rPr>
          <w:b/>
        </w:rPr>
        <w:t>隐藏非法资金来源、创建法律结构或处理高价值物品</w:t>
      </w:r>
      <w:r>
        <w:rPr>
          <w:sz w:val="15"/>
          <w:vertAlign w:val="superscript"/>
        </w:rPr>
        <w:t>P119</w:t>
      </w:r>
      <w:r>
        <w:t>。教材的具体例子还显示，会计师可能通过核实资金来源使非法交易看似合法，并协助犯罪所得的置入和离析</w:t>
      </w:r>
      <w:r>
        <w:rPr>
          <w:sz w:val="15"/>
          <w:vertAlign w:val="superscript"/>
        </w:rPr>
        <w:t>P120</w:t>
      </w:r>
      <w:r>
        <w:t>；律师设立的信托或空壳公司则可能掩盖真实受益人，法律特权也可能被犯罪分子用于隐藏所涉金融犯罪</w:t>
      </w:r>
      <w:r>
        <w:rPr>
          <w:sz w:val="15"/>
          <w:vertAlign w:val="superscript"/>
        </w:rPr>
        <w:t>P119</w:t>
      </w:r>
      <w:r>
        <w:t>。</w:t>
      </w:r>
    </w:p>
    <w:p>
      <w:pPr>
        <w:spacing w:line="360" w:lineRule="auto" w:after="40"/>
      </w:pPr>
      <w:r>
        <w:t>守门人凭借专业知识和服务连接客户与金融系统，这些服务可能被犯罪分子利用来转移资金、建立法律结构或掩盖非法资金来源</w:t>
      </w:r>
      <w:r>
        <w:rPr>
          <w:sz w:val="15"/>
          <w:vertAlign w:val="superscript"/>
        </w:rPr>
        <w:t>P119-P120</w:t>
      </w:r>
      <w:r>
        <w:t>。选项A概括了这一普遍风险，覆盖范围比只描述某一种结构的C更完整，也没有把风险错误归因于守门人自身财富或行为准则，因此最符合题意。</w:t>
      </w:r>
    </w:p>
    <w:p>
      <w:pPr>
        <w:spacing w:line="360" w:lineRule="auto" w:after="40"/>
      </w:pPr>
      <w:r>
        <w:rPr>
          <w:b/>
          <w:shd w:fill="D6E4F0" w:val="clear"/>
        </w:rPr>
        <w:t>教材原句：</w:t>
      </w:r>
    </w:p>
    <w:p>
      <w:pPr>
        <w:spacing w:line="360" w:lineRule="auto" w:after="40"/>
      </w:pPr>
      <w:r>
        <w:t>“Often referred to as "gatekeepers," these businesses act as intermediaries between criminals and the financial system.”</w:t>
      </w:r>
      <w:r>
        <w:rPr>
          <w:sz w:val="15"/>
          <w:vertAlign w:val="superscript"/>
        </w:rPr>
        <w:t>P119</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选项B把风险焦点放在守门人自身职位隐秘、难以核实其财富来源。但守门人风险的重点是其作为客户与金融系统之间的中介，以及其专业服务可能被利用</w:t>
      </w:r>
      <w:r>
        <w:rPr>
          <w:sz w:val="15"/>
          <w:vertAlign w:val="superscript"/>
        </w:rPr>
        <w:t>P119</w:t>
      </w:r>
      <w:r>
        <w:t>，而不是守门人自身的财富来源。</w:t>
      </w:r>
    </w:p>
    <w:p>
      <w:pPr>
        <w:spacing w:line="360" w:lineRule="auto" w:after="40"/>
      </w:pPr>
      <w:r>
        <w:rPr>
          <w:b/>
          <w:shd w:fill="D6E4F0" w:val="clear"/>
        </w:rPr>
        <w:t>C项错误：</w:t>
      </w:r>
    </w:p>
    <w:p>
      <w:pPr>
        <w:spacing w:line="360" w:lineRule="auto" w:after="40"/>
      </w:pPr>
      <w:r>
        <w:t>教材确实说明律师可能协助建立信托或空壳公司，从而掩盖真实受益人的身份</w:t>
      </w:r>
      <w:r>
        <w:rPr>
          <w:sz w:val="15"/>
          <w:vertAlign w:val="superscript"/>
        </w:rPr>
        <w:t>P119</w:t>
      </w:r>
      <w:r>
        <w:t>。但风险来自守门人创建或运用的法律结构，不是守门人本身具有所谓“独特的关系结构”；而且这只是守门人风险的一种具体表现，范围窄于A。</w:t>
      </w:r>
    </w:p>
    <w:p>
      <w:pPr>
        <w:spacing w:line="360" w:lineRule="auto" w:after="40"/>
      </w:pPr>
      <w:r>
        <w:rPr>
          <w:b/>
          <w:shd w:fill="D6E4F0" w:val="clear"/>
        </w:rPr>
        <w:t>D项错误：</w:t>
      </w:r>
    </w:p>
    <w:p>
      <w:pPr>
        <w:spacing w:line="360" w:lineRule="auto" w:after="40"/>
      </w:pPr>
      <w:r>
        <w:t>风险来自守门人的中介角色和专业服务在缺乏保障时可能被犯罪分子利用</w:t>
      </w:r>
      <w:r>
        <w:rPr>
          <w:sz w:val="15"/>
          <w:vertAlign w:val="superscript"/>
        </w:rPr>
        <w:t>P119</w:t>
      </w:r>
      <w:r>
        <w:t>，而不是专业行为准则本身会促进洗钱。D把风险来源归错了对象。</w:t>
      </w:r>
    </w:p>
    <w:p>
      <w:pPr>
        <w:spacing w:line="360" w:lineRule="auto" w:after="40"/>
      </w:pPr>
      <w:r>
        <w:rPr>
          <w:b/>
          <w:shd w:fill="D6E4F0" w:val="clear"/>
        </w:rPr>
        <w:t>易错提醒：</w:t>
      </w:r>
    </w:p>
    <w:p>
      <w:pPr>
        <w:spacing w:line="360" w:lineRule="auto" w:after="40"/>
      </w:pPr>
      <w:r>
        <w:t>守门人风险的判断重点是“专业服务如何被利用”，而不是守门人自身是否可疑。法律结构掩盖受益所有人、会计服务使交易看似合法、高价值物品便于价值转移，都是专业服务被利用的具体方式</w:t>
      </w:r>
      <w:r>
        <w:rPr>
          <w:sz w:val="15"/>
          <w:vertAlign w:val="superscript"/>
        </w:rPr>
        <w:t>P119-P120</w:t>
      </w:r>
      <w:r>
        <w:t>；选项A概括的是共同机制，C只描述其中一种可能结果。</w:t>
      </w:r>
    </w:p>
    <w:p>
      <w:pPr>
        <w:spacing w:line="360" w:lineRule="auto" w:after="120"/>
      </w:pPr>
      <w:r/>
    </w:p>
    <w:p>
      <w:pPr>
        <w:spacing w:line="360" w:lineRule="auto" w:after="40"/>
      </w:pPr>
      <w:r>
        <w:t>13. 哪些辅助部门或运营领域能够在支持大型组织的反洗钱和经济制裁合规计划方面发挥关键作用？（选择三项。）</w:t>
      </w:r>
    </w:p>
    <w:p>
      <w:pPr>
        <w:spacing w:line="360" w:lineRule="auto" w:after="20"/>
      </w:pPr>
      <w:r>
        <w:t>A.会计职能</w:t>
      </w:r>
    </w:p>
    <w:p>
      <w:pPr>
        <w:spacing w:line="360" w:lineRule="auto" w:after="20"/>
      </w:pPr>
      <w:r>
        <w:t>B.模型风险管理</w:t>
      </w:r>
    </w:p>
    <w:p>
      <w:pPr>
        <w:spacing w:line="360" w:lineRule="auto" w:after="20"/>
      </w:pPr>
      <w:r>
        <w:t>C.技术解决方案与IT安全</w:t>
      </w:r>
    </w:p>
    <w:p>
      <w:pPr>
        <w:spacing w:line="360" w:lineRule="auto" w:after="20"/>
      </w:pPr>
      <w:r>
        <w:t>D.市场营销</w:t>
      </w:r>
    </w:p>
    <w:p>
      <w:pPr>
        <w:spacing w:line="360" w:lineRule="auto" w:after="20"/>
      </w:pPr>
      <w:r>
        <w:t>E.欺诈风险管理</w:t>
      </w:r>
    </w:p>
    <w:p>
      <w:pPr>
        <w:spacing w:line="360" w:lineRule="auto" w:after="40"/>
      </w:pPr>
      <w:r>
        <w:t>答案:A、C、E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区分AFC核心职能与外围辅助部门或运营领域</w:t>
      </w:r>
    </w:p>
    <w:p>
      <w:pPr>
        <w:spacing w:line="360" w:lineRule="auto" w:after="40"/>
      </w:pPr>
      <w:r>
        <w:rPr>
          <w:b/>
          <w:shd w:fill="D6E4F0" w:val="clear"/>
        </w:rPr>
        <w:t>核心解析：</w:t>
      </w:r>
    </w:p>
    <w:p>
      <w:pPr>
        <w:spacing w:line="360" w:lineRule="auto" w:after="40"/>
      </w:pPr>
      <w:r>
        <w:t>题干问的是能够支持大型组织AFC（反洗钱和经济制裁）计划的“辅助部门或运营领域”，并非要求从第二道防线的核心AFC职能清单中再选三项。会计职能接触财务管理、报告和咨询信息，能够评估财务背景并发现可疑活动，因此可以为组织识别和上报风险提供辅助信息</w:t>
      </w:r>
      <w:r>
        <w:rPr>
          <w:sz w:val="15"/>
          <w:vertAlign w:val="superscript"/>
        </w:rPr>
        <w:t>P122-P123</w:t>
      </w:r>
      <w:r>
        <w:t>。</w:t>
      </w:r>
      <w:r>
        <w:rPr>
          <w:b/>
        </w:rPr>
        <w:t>技术解决方案与IT安全直接支撑AFC系统安全、持续监测和调查</w:t>
      </w:r>
      <w:r>
        <w:t>；教材明确指出IT支持、网络安全人员以及技术解决方案是确保AFC系统安全、运行有效和调查能力的组成部分</w:t>
      </w:r>
      <w:r>
        <w:rPr>
          <w:sz w:val="15"/>
          <w:vertAlign w:val="superscript"/>
        </w:rPr>
        <w:t>P391、P428</w:t>
      </w:r>
      <w:r>
        <w:t>。欺诈风险评估在部分组织中纳入操作风险管理，且可与AML风险评估集中执行，因而属于可协同支持AFC计划的运营领域</w:t>
      </w:r>
      <w:r>
        <w:rPr>
          <w:sz w:val="15"/>
          <w:vertAlign w:val="superscript"/>
        </w:rPr>
        <w:t>P263、P269</w:t>
      </w:r>
      <w:r>
        <w:t>。</w:t>
      </w:r>
    </w:p>
    <w:p>
      <w:pPr>
        <w:spacing w:line="360" w:lineRule="auto" w:after="40"/>
      </w:pPr>
      <w:r>
        <w:t>模型风险管理当然与AFC有关，教材也明确其负责AFC模型（包括交易监控系统）的验证和治理</w:t>
      </w:r>
      <w:r>
        <w:rPr>
          <w:sz w:val="15"/>
          <w:vertAlign w:val="superscript"/>
        </w:rPr>
        <w:t>P251</w:t>
      </w:r>
      <w:r>
        <w:t>；但教材将其置于第二道防线的AFC核心职能结构中</w:t>
      </w:r>
      <w:r>
        <w:rPr>
          <w:sz w:val="15"/>
          <w:vertAlign w:val="superscript"/>
        </w:rPr>
        <w:t>P250</w:t>
      </w:r>
      <w:r>
        <w:t>，而题干询问的是辅助部门或运营领域。因此，B与AFC相关，却不符合题干的组织分类。市场营销则没有被教材定位为AML或制裁合规支持职能，相关内容反而强调客户数据用于营销可能受到用途限制</w:t>
      </w:r>
      <w:r>
        <w:rPr>
          <w:sz w:val="15"/>
          <w:vertAlign w:val="superscript"/>
        </w:rPr>
        <w:t>P209</w:t>
      </w:r>
      <w:r>
        <w:t>。所以应选A、C、E。</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模型风险管理确实负责AFC模型和交易监控系统的验证与治理</w:t>
      </w:r>
      <w:r>
        <w:rPr>
          <w:sz w:val="15"/>
          <w:vertAlign w:val="superscript"/>
        </w:rPr>
        <w:t>P251</w:t>
      </w:r>
      <w:r>
        <w:t>，但教材把它列在第二道防线的AFC核心职能结构中</w:t>
      </w:r>
      <w:r>
        <w:rPr>
          <w:sz w:val="15"/>
          <w:vertAlign w:val="superscript"/>
        </w:rPr>
        <w:t>P250</w:t>
      </w:r>
      <w:r>
        <w:t>。本题要求的是“辅助部门或运营领域”，因此B不能仅因与AFC有关就入选；排除依据是题干分类与教材组织结构的结合，而不是断言模型风险管理与AML无关。</w:t>
      </w:r>
    </w:p>
    <w:p>
      <w:pPr>
        <w:spacing w:line="360" w:lineRule="auto" w:after="40"/>
      </w:pPr>
      <w:r>
        <w:rPr>
          <w:b/>
          <w:shd w:fill="D6E4F0" w:val="clear"/>
        </w:rPr>
        <w:t>D项错误：</w:t>
      </w:r>
    </w:p>
    <w:p>
      <w:pPr>
        <w:spacing w:line="360" w:lineRule="auto" w:after="40"/>
      </w:pPr>
      <w:r>
        <w:t>“市场营销”未被教材定位为AML或经济制裁合规支持职能。教材涉及营销时是在数据隐私语境下，指出许多司法管辖区禁止将为一种目的收集的数据用于另一目的（如营销）</w:t>
      </w:r>
      <w:r>
        <w:rPr>
          <w:sz w:val="15"/>
          <w:vertAlign w:val="superscript"/>
        </w:rPr>
        <w:t>P209</w:t>
      </w:r>
      <w:r>
        <w:t>；这不能证明营销部门承担AFC支持职责。</w:t>
      </w:r>
    </w:p>
    <w:p>
      <w:pPr>
        <w:spacing w:line="360" w:lineRule="auto" w:after="40"/>
      </w:pPr>
      <w:r>
        <w:rPr>
          <w:b/>
          <w:shd w:fill="D6E4F0" w:val="clear"/>
        </w:rPr>
        <w:t>易错提醒：</w:t>
      </w:r>
    </w:p>
    <w:p>
      <w:pPr>
        <w:spacing w:line="360" w:lineRule="auto" w:after="40"/>
      </w:pPr>
      <w:r>
        <w:t>易错点是把“与AML有关”误读成“符合题干所说的辅助部门或运营领域”。B有明确AFC职能依据</w:t>
      </w:r>
      <w:r>
        <w:rPr>
          <w:sz w:val="15"/>
          <w:vertAlign w:val="superscript"/>
        </w:rPr>
        <w:t>P250-P251</w:t>
      </w:r>
      <w:r>
        <w:t>，但在本题的组织分类下仍应排除；A、C、E分别从财务信息识别、技术支撑和欺诈/操作风险协同三个角度提供支持</w:t>
      </w:r>
      <w:r>
        <w:rPr>
          <w:sz w:val="15"/>
          <w:vertAlign w:val="superscript"/>
        </w:rPr>
        <w:t>P122-P123、P391、P428、P263、P269</w:t>
      </w:r>
      <w:r>
        <w:t>。</w:t>
      </w:r>
    </w:p>
    <w:p>
      <w:pPr>
        <w:spacing w:line="360" w:lineRule="auto" w:after="120"/>
      </w:pPr>
      <w:r/>
    </w:p>
    <w:p>
      <w:pPr>
        <w:spacing w:line="360" w:lineRule="auto" w:after="40"/>
      </w:pPr>
      <w:r>
        <w:t>14. 信托和公司服务提供商（TCSP）应通过以下方式应对洗钱风险：（选择三项。）</w:t>
      </w:r>
    </w:p>
    <w:p>
      <w:pPr>
        <w:spacing w:line="360" w:lineRule="auto" w:after="20"/>
      </w:pPr>
      <w:r>
        <w:t>A.在为客户处理交易时建立双重控制和质量保证措施</w:t>
      </w:r>
    </w:p>
    <w:p>
      <w:pPr>
        <w:spacing w:line="360" w:lineRule="auto" w:after="20"/>
      </w:pPr>
      <w:r>
        <w:t>B.考虑当客户通过位于另一司法管辖区的另一家信托和公司服务提供商（TCSP）下达指令时，可能需要采取哪些额外的保障措施</w:t>
      </w:r>
    </w:p>
    <w:p>
      <w:pPr>
        <w:spacing w:line="360" w:lineRule="auto" w:after="20"/>
      </w:pPr>
      <w:r>
        <w:t>C.要求客户完成并向所在司法管辖区的金融情报机构（FIU）提交反洗钱风险自我评估表</w:t>
      </w:r>
    </w:p>
    <w:p>
      <w:pPr>
        <w:spacing w:line="360" w:lineRule="auto" w:after="20"/>
      </w:pPr>
      <w:r>
        <w:t>D.从客户处收集并记录信息，以了解法律实体的目的，以及管理人员和最终受益所有人的身份。</w:t>
      </w:r>
    </w:p>
    <w:p>
      <w:pPr>
        <w:spacing w:line="360" w:lineRule="auto" w:after="20"/>
      </w:pPr>
      <w:r>
        <w:t>E.建立相关程序，以记录信托和公司服务提供商（TCSP）作为客户注册官的依据，并保存相关参与记录</w:t>
      </w:r>
    </w:p>
    <w:p>
      <w:pPr>
        <w:spacing w:line="360" w:lineRule="auto" w:after="20"/>
      </w:pPr>
      <w:r>
        <w:t>F.对客户进行现场评估以审查其内部控制措施</w:t>
      </w:r>
    </w:p>
    <w:p>
      <w:pPr>
        <w:spacing w:line="360" w:lineRule="auto" w:after="40"/>
      </w:pPr>
      <w:r>
        <w:t>答案:B、D、E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TCSP固有洗钱风险的对应控制措施</w:t>
      </w:r>
    </w:p>
    <w:p>
      <w:pPr>
        <w:spacing w:line="360" w:lineRule="auto" w:after="40"/>
      </w:pPr>
      <w:r>
        <w:rPr>
          <w:b/>
          <w:shd w:fill="D6E4F0" w:val="clear"/>
        </w:rPr>
        <w:t>核心解析：</w:t>
      </w:r>
    </w:p>
    <w:p>
      <w:pPr>
        <w:spacing w:line="360" w:lineRule="auto" w:after="40"/>
      </w:pPr>
      <w:r>
        <w:t>信托与公司服务提供商（TCSP）的核心洗钱风险在于其提供的服务可能被用于</w:t>
      </w:r>
      <w:r>
        <w:rPr>
          <w:b/>
        </w:rPr>
        <w:t>掩盖真实所有权和非法资金来源</w:t>
      </w:r>
      <w:r>
        <w:rPr>
          <w:sz w:val="15"/>
          <w:vertAlign w:val="superscript"/>
        </w:rPr>
        <w:t>P120</w:t>
      </w:r>
      <w:r>
        <w:t>。例如，TCSP常提供</w:t>
      </w:r>
      <w:r>
        <w:rPr>
          <w:b/>
        </w:rPr>
        <w:t>名义服务</w:t>
      </w:r>
      <w:r>
        <w:t>，由第三方代表客户担任董事或股东，这便增加了识别最终受益所有人的难度</w:t>
      </w:r>
      <w:r>
        <w:rPr>
          <w:sz w:val="15"/>
          <w:vertAlign w:val="superscript"/>
        </w:rPr>
        <w:t>P127</w:t>
      </w:r>
      <w:r>
        <w:t>。因此，应对TCSP的洗钱风险，需围绕</w:t>
      </w:r>
      <w:r>
        <w:rPr>
          <w:b/>
        </w:rPr>
        <w:t>穿透所有权结构、记录商业实质和管控跨境风险</w:t>
      </w:r>
      <w:r>
        <w:t>这三个核心来构建控制措施。选项D直接对应穿透所有权的核心要求：通过收集并记录法律实体的目的、管理人员及最终受益所有人身份，来打破TCSP结构可能造成的匿名性。选项E对应记录商业实质：由于犯罪分子可能利用名义董事和股东隐藏身份</w:t>
      </w:r>
      <w:r>
        <w:rPr>
          <w:sz w:val="15"/>
          <w:vertAlign w:val="superscript"/>
        </w:rPr>
        <w:t>P127</w:t>
      </w:r>
      <w:r>
        <w:t>，TCSP必须建立程序记录其担任客户注册代表的依据并保存参与记录，以确保有据可查，防止服务被滥用作掩护。选项B对应管控跨境风险：教材指出离岸公司有限的公开记录和复杂的国际交易流会加剧洗钱风险，使TCSP成为重要守门人。当客户通过另一司法管辖区的TCSP下达指令时，正是这种风险最高的国际复杂结构场景，因此必须考虑额外的保障措施来应对不同司法管辖区之间信息不透明和监管差异带来的挑战。</w:t>
      </w:r>
    </w:p>
    <w:p>
      <w:pPr>
        <w:spacing w:line="360" w:lineRule="auto" w:after="40"/>
      </w:pPr>
      <w:r>
        <w:rPr>
          <w:b/>
          <w:shd w:fill="D6E4F0" w:val="clear"/>
        </w:rPr>
        <w:t>教材原句：</w:t>
      </w:r>
    </w:p>
    <w:p>
      <w:pPr>
        <w:spacing w:line="360" w:lineRule="auto" w:after="40"/>
      </w:pPr>
      <w:r>
        <w:t>"Trust or company service providers: These providers create structures that obscure beneficial ownership and the origin of funds, making them attractive to individuals seeking to launder money."</w:t>
      </w:r>
      <w:r>
        <w:rPr>
          <w:sz w:val="15"/>
          <w:vertAlign w:val="superscript"/>
        </w:rPr>
        <w:t>P120</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题干问的是TCSP“应对洗钱风险”的特定举措，而A项描述的“双重控制和质量保证措施”属于金融机构内部通用的合规运营流程</w:t>
      </w:r>
      <w:r>
        <w:rPr>
          <w:sz w:val="15"/>
          <w:vertAlign w:val="superscript"/>
        </w:rPr>
        <w:t>P249</w:t>
      </w:r>
      <w:r>
        <w:t>，它保障的是某个操作或流程本身的准确性，而非直接针对TCSP业务中被滥用于掩盖所有权的独特风险，因此匹配度不如B、D、E直接。</w:t>
      </w:r>
    </w:p>
    <w:p>
      <w:pPr>
        <w:spacing w:line="360" w:lineRule="auto" w:after="40"/>
      </w:pPr>
      <w:r>
        <w:rPr>
          <w:b/>
          <w:shd w:fill="D6E4F0" w:val="clear"/>
        </w:rPr>
        <w:t>C项错误：</w:t>
      </w:r>
    </w:p>
    <w:p>
      <w:pPr>
        <w:spacing w:line="360" w:lineRule="auto" w:after="40"/>
      </w:pPr>
      <w:r>
        <w:t>报告可疑交易是金融机构对金融情报机构（FIU）的义务，而非客户对FIU的义务。要求客户自己向FIU提交反洗钱风险自我评估表在逻辑上与反洗钱合规的基本责任主体要求相悖。</w:t>
      </w:r>
    </w:p>
    <w:p>
      <w:pPr>
        <w:spacing w:line="360" w:lineRule="auto" w:after="40"/>
      </w:pPr>
      <w:r>
        <w:rPr>
          <w:b/>
          <w:shd w:fill="D6E4F0" w:val="clear"/>
        </w:rPr>
        <w:t>F项错误：</w:t>
      </w:r>
    </w:p>
    <w:p>
      <w:pPr>
        <w:spacing w:line="360" w:lineRule="auto" w:after="40"/>
      </w:pPr>
      <w:r>
        <w:t>对客户进行现场评估以审查其内部控制措施，是金融机构对高风险客户采取加强尽职调查（EDD）的潜在手段之一，比如安排“定期审计和合规会议”</w:t>
      </w:r>
      <w:r>
        <w:rPr>
          <w:sz w:val="15"/>
          <w:vertAlign w:val="superscript"/>
        </w:rPr>
        <w:t>P313</w:t>
      </w:r>
      <w:r>
        <w:t>。但这属于对已有客户关系的持续监控措施，而非TCSP行业为应对其业务固有风险所应建立的针对性的核心程序，B、D、E更直接地根植于TCSP业务自身的特点。</w:t>
      </w:r>
    </w:p>
    <w:p>
      <w:pPr>
        <w:spacing w:line="360" w:lineRule="auto" w:after="40"/>
      </w:pPr>
      <w:r>
        <w:rPr>
          <w:b/>
          <w:shd w:fill="D6E4F0" w:val="clear"/>
        </w:rPr>
        <w:t>易错提醒：</w:t>
      </w:r>
    </w:p>
    <w:p>
      <w:pPr>
        <w:spacing w:line="360" w:lineRule="auto" w:after="40"/>
      </w:pPr>
      <w:r>
        <w:t>“加强尽职调查（EDD）”的某些措施（如定期审计）与TCSP需“建立程序记录”的义务容易混淆。区别在于，前者是金融机构对高风险客户的持续监督，主体是金融机构</w:t>
      </w:r>
      <w:r>
        <w:rPr>
          <w:sz w:val="15"/>
          <w:vertAlign w:val="superscript"/>
        </w:rPr>
        <w:t>P313</w:t>
      </w:r>
      <w:r>
        <w:t>；后者是TCSP为预防其名义服务被利用而必须做的事前程序性记录，主体是TCSP自身</w:t>
      </w:r>
      <w:r>
        <w:rPr>
          <w:sz w:val="15"/>
          <w:vertAlign w:val="superscript"/>
        </w:rPr>
        <w:t>P120、P127</w:t>
      </w:r>
      <w:r>
        <w:t>。</w:t>
      </w:r>
    </w:p>
    <w:p>
      <w:pPr>
        <w:spacing w:line="360" w:lineRule="auto" w:after="120"/>
      </w:pPr>
      <w:r/>
    </w:p>
    <w:p>
      <w:pPr>
        <w:spacing w:line="360" w:lineRule="auto" w:after="40"/>
      </w:pPr>
      <w:r>
        <w:t>15. 与房地产交易相关的风险包括（选择两项。）</w:t>
      </w:r>
    </w:p>
    <w:p>
      <w:pPr>
        <w:spacing w:line="360" w:lineRule="auto" w:after="20"/>
      </w:pPr>
      <w:r>
        <w:t>A.跨境购置.</w:t>
      </w:r>
    </w:p>
    <w:p>
      <w:pPr>
        <w:spacing w:line="360" w:lineRule="auto" w:after="20"/>
      </w:pPr>
      <w:r>
        <w:t>B.以自然人名义进行的房产购置。</w:t>
      </w:r>
    </w:p>
    <w:p>
      <w:pPr>
        <w:spacing w:line="360" w:lineRule="auto" w:after="20"/>
      </w:pPr>
      <w:r>
        <w:t>C.以真实的市场价格购买房产</w:t>
      </w:r>
    </w:p>
    <w:p>
      <w:pPr>
        <w:spacing w:line="360" w:lineRule="auto" w:after="20"/>
      </w:pPr>
      <w:r>
        <w:t>D.非融资购置.</w:t>
      </w:r>
    </w:p>
    <w:p>
      <w:pPr>
        <w:spacing w:line="360" w:lineRule="auto" w:after="40"/>
      </w:pPr>
      <w:r>
        <w:t>答案:A、D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识别房地产交易中跨境与现金/无融资带来的洗钱风险</w:t>
      </w:r>
    </w:p>
    <w:p>
      <w:pPr>
        <w:spacing w:line="360" w:lineRule="auto" w:after="40"/>
      </w:pPr>
      <w:r>
        <w:rPr>
          <w:b/>
          <w:shd w:fill="D6E4F0" w:val="clear"/>
        </w:rPr>
        <w:t>核心解析：</w:t>
      </w:r>
    </w:p>
    <w:p>
      <w:pPr>
        <w:spacing w:line="360" w:lineRule="auto" w:after="40"/>
      </w:pPr>
      <w:r>
        <w:t>教材说明</w:t>
      </w:r>
      <w:r>
        <w:rPr>
          <w:b/>
        </w:rPr>
        <w:t>国际买家与跨境交易能掩盖非法活动</w:t>
      </w:r>
      <w:r>
        <w:t>，加剧洗钱检测难度</w:t>
      </w:r>
      <w:r>
        <w:rPr>
          <w:sz w:val="15"/>
          <w:vertAlign w:val="superscript"/>
        </w:rPr>
        <w:t>P122</w:t>
      </w:r>
      <w:r>
        <w:t>；同时，现金交易因难以追踪而增加洗钱风险，全部或主要用现金支付是房地产洗钱的红旗信号</w:t>
      </w:r>
      <w:r>
        <w:rPr>
          <w:sz w:val="15"/>
          <w:vertAlign w:val="superscript"/>
        </w:rPr>
        <w:t>P122</w:t>
      </w:r>
      <w:r>
        <w:t>。因此，跨境购置（cross-border purchases）与不依赖银行融资的“非融资购置”——实践中常体现为全款或现金支付——都属于房地产交易中值得关注的风险。</w:t>
      </w:r>
    </w:p>
    <w:p>
      <w:pPr>
        <w:spacing w:line="360" w:lineRule="auto" w:after="40"/>
      </w:pPr>
      <w:r>
        <w:rPr>
          <w:b/>
          <w:shd w:fill="D6E4F0" w:val="clear"/>
        </w:rPr>
        <w:t>教材原句：</w:t>
      </w:r>
    </w:p>
    <w:p>
      <w:pPr>
        <w:spacing w:line="360" w:lineRule="auto" w:after="40"/>
      </w:pPr>
      <w:r>
        <w:t>"International buyers and cross-border transactions can mask illicit activities."</w:t>
      </w:r>
      <w:r>
        <w:rPr>
          <w:sz w:val="15"/>
          <w:vertAlign w:val="superscript"/>
        </w:rPr>
        <w:t>P122</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教材将利用公司、信托或代名人形成的复杂所有权结构视为风险</w:t>
      </w:r>
      <w:r>
        <w:rPr>
          <w:sz w:val="15"/>
          <w:vertAlign w:val="superscript"/>
        </w:rPr>
        <w:t>P119</w:t>
      </w:r>
      <w:r>
        <w:t>，而以自然人名义直接购买通常更透明，缺乏这类隐蔽特征，因此不如A、D直接匹配教材列出的典型风险。</w:t>
      </w:r>
    </w:p>
    <w:p>
      <w:pPr>
        <w:spacing w:line="360" w:lineRule="auto" w:after="40"/>
      </w:pPr>
      <w:r>
        <w:rPr>
          <w:b/>
          <w:shd w:fill="D6E4F0" w:val="clear"/>
        </w:rPr>
        <w:t>C项错误：</w:t>
      </w:r>
    </w:p>
    <w:p>
      <w:pPr>
        <w:spacing w:line="360" w:lineRule="auto" w:after="40"/>
      </w:pPr>
      <w:r>
        <w:t>教材指出虚增房产价值或偏离市场价格是房地产洗钱手法</w:t>
      </w:r>
      <w:r>
        <w:rPr>
          <w:sz w:val="15"/>
          <w:vertAlign w:val="superscript"/>
        </w:rPr>
        <w:t>P119</w:t>
      </w:r>
      <w:r>
        <w:t>，而按真实市场价格购买缺乏该风险信号，因而相比A、D，与教材所述风险因素的吻合度更低。</w:t>
      </w:r>
    </w:p>
    <w:p>
      <w:pPr>
        <w:spacing w:line="360" w:lineRule="auto" w:after="40"/>
      </w:pPr>
      <w:r>
        <w:rPr>
          <w:b/>
          <w:shd w:fill="D6E4F0" w:val="clear"/>
        </w:rPr>
        <w:t>易错提醒：</w:t>
      </w:r>
    </w:p>
    <w:p>
      <w:pPr>
        <w:spacing w:line="360" w:lineRule="auto" w:after="40"/>
      </w:pPr>
      <w:r>
        <w:t>“非融资购置”容易被理解为中性，但实质上它往往意味着全款支付，尤其是现金。教材明确将全部或主要用现金支付列为房地产洗钱红旗信号</w:t>
      </w:r>
      <w:r>
        <w:rPr>
          <w:sz w:val="15"/>
          <w:vertAlign w:val="superscript"/>
        </w:rPr>
        <w:t>P122</w:t>
      </w:r>
      <w:r>
        <w:t>，因此不依赖融资所带来的现金交易风险才是考察重点。</w:t>
      </w:r>
    </w:p>
    <w:p>
      <w:pPr>
        <w:spacing w:line="360" w:lineRule="auto" w:after="120"/>
      </w:pPr>
      <w:r/>
    </w:p>
    <w:p>
      <w:pPr>
        <w:spacing w:line="360" w:lineRule="auto" w:after="40"/>
      </w:pPr>
      <w:r>
        <w:t>16. 以下哪些是与房地产公司相关的重大金融犯罪风险？(选择四项.)</w:t>
      </w:r>
    </w:p>
    <w:p>
      <w:pPr>
        <w:spacing w:line="360" w:lineRule="auto" w:after="20"/>
      </w:pPr>
      <w:r>
        <w:t>A.购买房产能够在一笔交易中实现大额资金的流动.</w:t>
      </w:r>
    </w:p>
    <w:p>
      <w:pPr>
        <w:spacing w:line="360" w:lineRule="auto" w:after="20"/>
      </w:pPr>
      <w:r>
        <w:t>B.犯罪网络可能会购置房产用作毒品储存、供应或种植、制造、分销非法毒品的场所.</w:t>
      </w:r>
    </w:p>
    <w:p>
      <w:pPr>
        <w:spacing w:line="360" w:lineRule="auto" w:after="20"/>
      </w:pPr>
      <w:r>
        <w:t>C.市场可能波动不定,买家可能无法获得丰厚的投资回报.</w:t>
      </w:r>
    </w:p>
    <w:p>
      <w:pPr>
        <w:spacing w:line="360" w:lineRule="auto" w:after="20"/>
      </w:pPr>
      <w:r>
        <w:t>D.实益所有权信息可能不透明,犯罪分子可能会滥用空壳公司和信托等安排.</w:t>
      </w:r>
    </w:p>
    <w:p>
      <w:pPr>
        <w:spacing w:line="360" w:lineRule="auto" w:after="20"/>
      </w:pPr>
      <w:r>
        <w:t>E.房地产交易通常涉及金融机构和其他专业把关人</w:t>
      </w:r>
    </w:p>
    <w:p>
      <w:pPr>
        <w:spacing w:line="360" w:lineRule="auto" w:after="20"/>
      </w:pPr>
      <w:r>
        <w:t>F.房产的高价值可能需要多种类型的融资.</w:t>
      </w:r>
    </w:p>
    <w:p>
      <w:pPr>
        <w:spacing w:line="360" w:lineRule="auto" w:after="40"/>
      </w:pPr>
      <w:r>
        <w:t>答案:A、B、D、E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区分房地产被用于金融犯罪的风险与普通商业风险</w:t>
      </w:r>
    </w:p>
    <w:p>
      <w:pPr>
        <w:spacing w:line="360" w:lineRule="auto" w:after="40"/>
      </w:pPr>
      <w:r>
        <w:rPr>
          <w:b/>
          <w:shd w:fill="D6E4F0" w:val="clear"/>
        </w:rPr>
        <w:t>核心解析：</w:t>
      </w:r>
    </w:p>
    <w:p>
      <w:pPr>
        <w:spacing w:line="360" w:lineRule="auto" w:after="40"/>
      </w:pPr>
      <w:r>
        <w:t>判断房地产金融犯罪风险，应关注房地产是否被用于</w:t>
      </w:r>
      <w:r>
        <w:rPr>
          <w:b/>
        </w:rPr>
        <w:t>大额资金转移、实施犯罪、隐藏实际所有权或使资金流动具有合法外观</w:t>
      </w:r>
      <w:r>
        <w:t>。房地产交易涉及大量资金，且房地产属于有形高价值资产，因此该行业具有固有洗钱风险，对应A</w:t>
      </w:r>
      <w:r>
        <w:rPr>
          <w:sz w:val="15"/>
          <w:vertAlign w:val="superscript"/>
        </w:rPr>
        <w:t>P121</w:t>
      </w:r>
      <w:r>
        <w:t>。毒品贩运属于洗钱上游犯罪</w:t>
      </w:r>
      <w:r>
        <w:rPr>
          <w:sz w:val="15"/>
          <w:vertAlign w:val="superscript"/>
        </w:rPr>
        <w:t>P16</w:t>
      </w:r>
      <w:r>
        <w:t>；B所述房产被用作毒品储存、种植、制造或分销场所，体现房地产被用于实施或便利上游犯罪，而非当然属于洗钱融合阶段。买卖或租赁房地产可通过模糊所有权结构掩饰资金来源，公司、信托或代名人持有房产且缺乏合理解释也是红旗信号，对应D</w:t>
      </w:r>
      <w:r>
        <w:rPr>
          <w:sz w:val="15"/>
          <w:vertAlign w:val="superscript"/>
        </w:rPr>
        <w:t>P121</w:t>
      </w:r>
      <w:r>
        <w:t>。房地产交易还经常涉及律师等专业第三方，其参与可能进一步使资金流动呈现合法外观，对应E</w:t>
      </w:r>
      <w:r>
        <w:rPr>
          <w:sz w:val="15"/>
          <w:vertAlign w:val="superscript"/>
        </w:rPr>
        <w:t>P121</w:t>
      </w:r>
      <w:r>
        <w:t>。故应选择A、B、D、E。</w:t>
      </w:r>
    </w:p>
    <w:p>
      <w:pPr>
        <w:spacing w:line="360" w:lineRule="auto" w:after="40"/>
      </w:pPr>
      <w:r>
        <w:rPr>
          <w:b/>
          <w:shd w:fill="D6E4F0" w:val="clear"/>
        </w:rPr>
        <w:t>教材原句：</w:t>
      </w:r>
    </w:p>
    <w:p>
      <w:pPr>
        <w:spacing w:line="360" w:lineRule="auto" w:after="40"/>
      </w:pPr>
      <w:r>
        <w:t>"The real estate sector is inherently susceptible to money laundering due to the substantial sums involved in property transactions and the tangible nature of these assets."</w:t>
      </w:r>
      <w:r>
        <w:rPr>
          <w:sz w:val="15"/>
          <w:vertAlign w:val="superscript"/>
        </w:rPr>
        <w:t>P121</w:t>
      </w:r>
    </w:p>
    <w:p>
      <w:pPr>
        <w:spacing w:line="360" w:lineRule="auto" w:after="40"/>
      </w:pPr>
      <w:r>
        <w:rPr>
          <w:b/>
          <w:shd w:fill="D6E4F0" w:val="clear"/>
        </w:rPr>
        <w:t>错误项分析：</w:t>
      </w:r>
    </w:p>
    <w:p>
      <w:pPr>
        <w:spacing w:line="360" w:lineRule="auto" w:after="40"/>
      </w:pPr>
      <w:r>
        <w:rPr>
          <w:b/>
          <w:shd w:fill="D6E4F0" w:val="clear"/>
        </w:rPr>
        <w:t>C项错误：</w:t>
      </w:r>
    </w:p>
    <w:p>
      <w:pPr>
        <w:spacing w:line="360" w:lineRule="auto" w:after="40"/>
      </w:pPr>
      <w:r>
        <w:t>市场波动和投资回报不足属于商业或投资风险。教材所述金融犯罪风险涉及大额非法资金、所有权掩饰或异常估值操纵</w:t>
      </w:r>
      <w:r>
        <w:rPr>
          <w:sz w:val="15"/>
          <w:vertAlign w:val="superscript"/>
        </w:rPr>
        <w:t>P121、P129</w:t>
      </w:r>
      <w:r>
        <w:t>；C没有犯罪利用、非法资金或异常定价等要素。正常市场波动导致回报不佳，不等同于人为将资产价格设定在高于或低于市场价值的异常估值。</w:t>
      </w:r>
    </w:p>
    <w:p>
      <w:pPr>
        <w:spacing w:line="360" w:lineRule="auto" w:after="40"/>
      </w:pPr>
      <w:r>
        <w:rPr>
          <w:b/>
          <w:shd w:fill="D6E4F0" w:val="clear"/>
        </w:rPr>
        <w:t>F项错误：</w:t>
      </w:r>
    </w:p>
    <w:p>
      <w:pPr>
        <w:spacing w:line="360" w:lineRule="auto" w:after="40"/>
      </w:pPr>
      <w:r>
        <w:t>房地产价值较高，确实可能涉及多种融资方式，但融资方式多样本身不能证明存在金融犯罪。只有融资结构被用于隐藏资金来源、实际借款人或受益所有人时，才与题干所问风险直接相关；F没有这些限定。</w:t>
      </w:r>
    </w:p>
    <w:p>
      <w:pPr>
        <w:spacing w:line="360" w:lineRule="auto" w:after="40"/>
      </w:pPr>
      <w:r>
        <w:rPr>
          <w:b/>
          <w:shd w:fill="D6E4F0" w:val="clear"/>
        </w:rPr>
        <w:t>易错提醒：</w:t>
      </w:r>
    </w:p>
    <w:p>
      <w:pPr>
        <w:spacing w:line="360" w:lineRule="auto" w:after="40"/>
      </w:pPr>
      <w:r>
        <w:t>房地产金融犯罪风险不限于洗钱。房产既可能被用于转移或整合非法资金</w:t>
      </w:r>
      <w:r>
        <w:rPr>
          <w:sz w:val="15"/>
          <w:vertAlign w:val="superscript"/>
        </w:rPr>
        <w:t>P121</w:t>
      </w:r>
      <w:r>
        <w:t>，也可能被用于实施上游犯罪</w:t>
      </w:r>
      <w:r>
        <w:rPr>
          <w:sz w:val="15"/>
          <w:vertAlign w:val="superscript"/>
        </w:rPr>
        <w:t>P16</w:t>
      </w:r>
      <w:r>
        <w:t>。正常市场波动和常规融资安排只有叠加非法资金、异常估值或所有权掩饰等要素后，才构成题目所问的金融犯罪风险。</w:t>
      </w:r>
    </w:p>
    <w:p>
      <w:pPr>
        <w:spacing w:line="360" w:lineRule="auto" w:after="120"/>
      </w:pPr>
      <w:r/>
    </w:p>
    <w:p>
      <w:pPr>
        <w:spacing w:line="360" w:lineRule="auto" w:after="40"/>
      </w:pPr>
      <w:r>
        <w:t>17. 与房地产交易相关的风险包括:（选择两项。）</w:t>
      </w:r>
    </w:p>
    <w:p>
      <w:pPr>
        <w:spacing w:line="360" w:lineRule="auto" w:after="20"/>
      </w:pPr>
      <w:r>
        <w:t>A.跨境购买</w:t>
      </w:r>
    </w:p>
    <w:p>
      <w:pPr>
        <w:spacing w:line="360" w:lineRule="auto" w:after="20"/>
      </w:pPr>
      <w:r>
        <w:t>B.以自然人名义购买</w:t>
      </w:r>
    </w:p>
    <w:p>
      <w:pPr>
        <w:spacing w:line="360" w:lineRule="auto" w:after="20"/>
      </w:pPr>
      <w:r>
        <w:t>C.按照真实的市场价格购买房产</w:t>
      </w:r>
    </w:p>
    <w:p>
      <w:pPr>
        <w:spacing w:line="360" w:lineRule="auto" w:after="20"/>
      </w:pPr>
      <w:r>
        <w:t>D.无融资购买</w:t>
      </w:r>
    </w:p>
    <w:p>
      <w:pPr>
        <w:spacing w:line="360" w:lineRule="auto" w:after="40"/>
      </w:pPr>
      <w:r>
        <w:t>答案:A、D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识别房地产交易中跨境购买与无融资购买带来的洗钱风险</w:t>
      </w:r>
    </w:p>
    <w:p>
      <w:pPr>
        <w:spacing w:line="360" w:lineRule="auto" w:after="40"/>
      </w:pPr>
      <w:r>
        <w:rPr>
          <w:b/>
          <w:shd w:fill="D6E4F0" w:val="clear"/>
        </w:rPr>
        <w:t>核心解析：</w:t>
      </w:r>
    </w:p>
    <w:p>
      <w:pPr>
        <w:spacing w:line="360" w:lineRule="auto" w:after="40"/>
      </w:pPr>
      <w:r>
        <w:t>教材直接指出，</w:t>
      </w:r>
      <w:r>
        <w:rPr>
          <w:b/>
        </w:rPr>
        <w:t>国际买家和跨境交易可能掩盖非法活动</w:t>
      </w:r>
      <w:r>
        <w:t>，使房地产市场中的洗钱检测更困难</w:t>
      </w:r>
      <w:r>
        <w:rPr>
          <w:sz w:val="15"/>
          <w:vertAlign w:val="superscript"/>
        </w:rPr>
        <w:t>P122</w:t>
      </w:r>
      <w:r>
        <w:t>，因此跨境购买（A）属于明确风险。教材还指出，房地产市场中的现金交易更难追踪，全部或主要以现金支付的买家属于红旗信号</w:t>
      </w:r>
      <w:r>
        <w:rPr>
          <w:sz w:val="15"/>
          <w:vertAlign w:val="superscript"/>
        </w:rPr>
        <w:t>P122</w:t>
      </w:r>
      <w:r>
        <w:t>。未融资购买（D）本身不等于现金支付，但在给定选项中与全款、尤其现金支付的风险最接近，实际审查时仍需进一步核实付款方式。因此在本题选项中更符合的是A、D。</w:t>
      </w:r>
    </w:p>
    <w:p>
      <w:pPr>
        <w:spacing w:line="360" w:lineRule="auto" w:after="40"/>
      </w:pPr>
      <w:r>
        <w:rPr>
          <w:b/>
          <w:shd w:fill="D6E4F0" w:val="clear"/>
        </w:rPr>
        <w:t>教材原句：</w:t>
      </w:r>
    </w:p>
    <w:p>
      <w:pPr>
        <w:spacing w:line="360" w:lineRule="auto" w:after="40"/>
      </w:pPr>
      <w:r>
        <w:t>"International buyers and cross-border transactions can mask illicit activities."；"Red flags include buyers who pay entirely or primarily in cash, particularly in regions where bank financing is the norm."</w:t>
      </w:r>
      <w:r>
        <w:rPr>
          <w:sz w:val="15"/>
          <w:vertAlign w:val="superscript"/>
        </w:rPr>
        <w:t>P122</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教材关注的是公司、信托或代名人等复杂所有权结构对真实所有权的遮蔽</w:t>
      </w:r>
      <w:r>
        <w:rPr>
          <w:sz w:val="15"/>
          <w:vertAlign w:val="superscript"/>
        </w:rPr>
        <w:t>P119</w:t>
      </w:r>
      <w:r>
        <w:t>；以自然人本人名义购买通常更透明，选项本身没有呈现该风险特征。</w:t>
      </w:r>
    </w:p>
    <w:p>
      <w:pPr>
        <w:spacing w:line="360" w:lineRule="auto" w:after="40"/>
      </w:pPr>
      <w:r>
        <w:rPr>
          <w:b/>
          <w:shd w:fill="D6E4F0" w:val="clear"/>
        </w:rPr>
        <w:t>C项错误：</w:t>
      </w:r>
    </w:p>
    <w:p>
      <w:pPr>
        <w:spacing w:line="360" w:lineRule="auto" w:after="40"/>
      </w:pPr>
      <w:r>
        <w:t>教材列示的风险是虚增房产价值或价格偏离合理市场水平</w:t>
      </w:r>
      <w:r>
        <w:rPr>
          <w:sz w:val="15"/>
          <w:vertAlign w:val="superscript"/>
        </w:rPr>
        <w:t>P119</w:t>
      </w:r>
      <w:r>
        <w:t>。按真实市场价格购买缺少这一异常定价信号。</w:t>
      </w:r>
    </w:p>
    <w:p>
      <w:pPr>
        <w:spacing w:line="360" w:lineRule="auto" w:after="40"/>
      </w:pPr>
      <w:r>
        <w:rPr>
          <w:b/>
          <w:shd w:fill="D6E4F0" w:val="clear"/>
        </w:rPr>
        <w:t>易错提醒：</w:t>
      </w:r>
    </w:p>
    <w:p>
      <w:pPr>
        <w:spacing w:line="360" w:lineRule="auto" w:after="40"/>
      </w:pPr>
      <w:r>
        <w:t>“未融资购买”不是说所有全款交易当然违法，也不必然意味着现金支付；它可能绕开常规贷款审查，因此在房地产风险识别中需要进一步核实资金来源和付款方式</w:t>
      </w:r>
      <w:r>
        <w:rPr>
          <w:sz w:val="15"/>
          <w:vertAlign w:val="superscript"/>
        </w:rPr>
        <w:t>P122</w:t>
      </w:r>
      <w:r>
        <w:t>。</w:t>
      </w:r>
    </w:p>
    <w:p>
      <w:pPr>
        <w:spacing w:line="360" w:lineRule="auto" w:after="120"/>
      </w:pPr>
      <w:r/>
    </w:p>
    <w:p>
      <w:pPr>
        <w:spacing w:line="360" w:lineRule="auto" w:after="40"/>
      </w:pPr>
      <w:r>
        <w:t>18. 根据题干给出的具体事实,以下哪两类实体最直接具有教材列出的较高洗钱风险,需要开户前额外审查？（选择两项。）</w:t>
      </w:r>
    </w:p>
    <w:p>
      <w:pPr>
        <w:spacing w:line="360" w:lineRule="auto" w:after="20"/>
      </w:pPr>
      <w:r>
        <w:t>A.一家拥有大量有记录的电汇业务的大型跨国公司</w:t>
      </w:r>
    </w:p>
    <w:p>
      <w:pPr>
        <w:spacing w:line="360" w:lineRule="auto" w:after="20"/>
      </w:pPr>
      <w:r>
        <w:t>B.一家当地便利店,从其收银机中取出现金为现场的自动取款机(ATM)补充现金.</w:t>
      </w:r>
    </w:p>
    <w:p>
      <w:pPr>
        <w:spacing w:line="360" w:lineRule="auto" w:after="20"/>
      </w:pPr>
      <w:r>
        <w:t>C.一家当地的二手车销售店,允许个人用现金支付每月账单</w:t>
      </w:r>
    </w:p>
    <w:p>
      <w:pPr>
        <w:spacing w:line="360" w:lineRule="auto" w:after="20"/>
      </w:pPr>
      <w:r>
        <w:t>D.一家虚拟资产服务提供商(VASP),为点对点加密货币交易提供便利</w:t>
      </w:r>
    </w:p>
    <w:p>
      <w:pPr>
        <w:spacing w:line="360" w:lineRule="auto" w:after="40"/>
      </w:pPr>
      <w:r>
        <w:t>答案:C、D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识别高现金依赖与VASP等特定行业类别所固有的洗钱风险</w:t>
      </w:r>
    </w:p>
    <w:p>
      <w:pPr>
        <w:spacing w:line="360" w:lineRule="auto" w:after="40"/>
      </w:pPr>
      <w:r>
        <w:rPr>
          <w:b/>
          <w:shd w:fill="D6E4F0" w:val="clear"/>
        </w:rPr>
        <w:t>核心解析：</w:t>
      </w:r>
    </w:p>
    <w:p>
      <w:pPr>
        <w:spacing w:line="360" w:lineRule="auto" w:after="40"/>
      </w:pPr>
      <w:r>
        <w:t>教材指出</w:t>
      </w:r>
      <w:r>
        <w:rPr>
          <w:b/>
        </w:rPr>
        <w:t>现金较难追踪</w:t>
      </w:r>
      <w:r>
        <w:t>，会增加洗钱可能性</w:t>
      </w:r>
      <w:r>
        <w:rPr>
          <w:sz w:val="15"/>
          <w:vertAlign w:val="superscript"/>
        </w:rPr>
        <w:t>P122</w:t>
      </w:r>
      <w:r>
        <w:t>；同时，</w:t>
      </w:r>
      <w:r>
        <w:rPr>
          <w:b/>
        </w:rPr>
        <w:t>VASP</w:t>
      </w:r>
      <w:r>
        <w:t xml:space="preserve"> 涉及虚拟资产交易，在许多司法管辖区受到严格监管</w:t>
      </w:r>
      <w:r>
        <w:rPr>
          <w:sz w:val="15"/>
          <w:vertAlign w:val="superscript"/>
        </w:rPr>
        <w:t>P444</w:t>
      </w:r>
      <w:r>
        <w:t>。在本题给出的实体特征中，C 的二手车销售场景允许个人以现金持续付款，直接叠加了高价值资产和现金不可追踪性；D 则直接属于受重点监管的 VASP 类别。A 的电汇有记录，题干没有给出异常来源、异常金额或高风险辖区；B 的便利店用收银现金补充现场 ATM，教材将这类现金流视为高现金业务的常规经营模式。因此 C、D 比 A、B 更直接满足“开户前额外审查”的题干条件。</w:t>
      </w:r>
    </w:p>
    <w:p>
      <w:pPr>
        <w:spacing w:line="360" w:lineRule="auto" w:after="40"/>
      </w:pPr>
      <w:r>
        <w:rPr>
          <w:b/>
          <w:shd w:fill="D6E4F0" w:val="clear"/>
        </w:rPr>
        <w:t>教材原句：</w:t>
      </w:r>
    </w:p>
    <w:p>
      <w:pPr>
        <w:spacing w:line="360" w:lineRule="auto" w:after="40"/>
      </w:pPr>
      <w:r>
        <w:t>"Cash transactions remain relatively common in some markets and increase the potential for money laundering, as cash is more challenging to trace than payments made through financial institutions."</w:t>
      </w:r>
      <w:r>
        <w:rPr>
          <w:sz w:val="15"/>
          <w:vertAlign w:val="superscript"/>
        </w:rPr>
        <w:t>P122</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跨国公司和大量电汇业务并不自动等于低风险，但题干强调交易已有记录，也没有给出资金来源异常、高风险交易对手或无法解释的流量；相较C、D，风险触发条件不足。</w:t>
      </w:r>
    </w:p>
    <w:p>
      <w:pPr>
        <w:spacing w:line="360" w:lineRule="auto" w:after="40"/>
      </w:pPr>
      <w:r>
        <w:rPr>
          <w:b/>
          <w:shd w:fill="D6E4F0" w:val="clear"/>
        </w:rPr>
        <w:t>B项错误：</w:t>
      </w:r>
    </w:p>
    <w:p>
      <w:pPr>
        <w:spacing w:line="360" w:lineRule="auto" w:after="40"/>
      </w:pPr>
      <w:r>
        <w:t>便利店属于典型现金密集型业务，频繁现金存取可能是可预期的经营行为。题干没有出现现金规模与营业额不符、异常第三方资金或其他矛盾事实，因此单凭为现场ATM补充现金不足以优先判断为高风险。</w:t>
      </w:r>
    </w:p>
    <w:p>
      <w:pPr>
        <w:spacing w:line="360" w:lineRule="auto" w:after="40"/>
      </w:pPr>
      <w:r>
        <w:rPr>
          <w:b/>
          <w:shd w:fill="D6E4F0" w:val="clear"/>
        </w:rPr>
        <w:t>易错提醒：</w:t>
      </w:r>
    </w:p>
    <w:p>
      <w:pPr>
        <w:spacing w:line="360" w:lineRule="auto" w:after="40"/>
      </w:pPr>
      <w:r>
        <w:t>需要区分“常规现金密集型行业”与“现金滥用型高风险行业”。对于便利店、餐馆等“高现金企业”（cash-intensive businesses），因其商业模式本身依赖现金，日常现金流水通常被视为低风险预期行为</w:t>
      </w:r>
      <w:r>
        <w:rPr>
          <w:sz w:val="15"/>
          <w:vertAlign w:val="superscript"/>
        </w:rPr>
        <w:t>P108</w:t>
      </w:r>
      <w:r>
        <w:t>。但对于二手车行这类能接收大额月度现金支付的实体，现金极易脱离业务背景成为黑钱混入的工具，属于高洗钱风险信号</w:t>
      </w:r>
      <w:r>
        <w:rPr>
          <w:sz w:val="15"/>
          <w:vertAlign w:val="superscript"/>
        </w:rPr>
        <w:t>P122</w:t>
      </w:r>
      <w:r>
        <w:t>。</w:t>
      </w:r>
    </w:p>
    <w:p>
      <w:pPr>
        <w:spacing w:line="360" w:lineRule="auto" w:after="120"/>
      </w:pPr>
      <w:r/>
    </w:p>
    <w:p>
      <w:pPr>
        <w:spacing w:line="360" w:lineRule="auto" w:after="40"/>
      </w:pPr>
      <w:r>
        <w:t>19. 在完成豪华房地产购买时,以下哪两项属于教材直接列出的洗钱警示信号？（选择两项。）</w:t>
      </w:r>
    </w:p>
    <w:p>
      <w:pPr>
        <w:spacing w:line="360" w:lineRule="auto" w:after="20"/>
      </w:pPr>
      <w:r>
        <w:t>A.使用所有权透明且具有合理商业目的的公司或信托购买.</w:t>
      </w:r>
    </w:p>
    <w:p>
      <w:pPr>
        <w:spacing w:line="360" w:lineRule="auto" w:after="20"/>
      </w:pPr>
      <w:r>
        <w:t>B.以不相关的第三方名义购买.</w:t>
      </w:r>
    </w:p>
    <w:p>
      <w:pPr>
        <w:spacing w:line="360" w:lineRule="auto" w:after="20"/>
      </w:pPr>
      <w:r>
        <w:t>C.在银行融资通常存在的地区,使用出售前一套房产或变现投资的所得进行全现金购房</w:t>
      </w:r>
    </w:p>
    <w:p>
      <w:pPr>
        <w:spacing w:line="360" w:lineRule="auto" w:after="20"/>
      </w:pPr>
      <w:r>
        <w:t>D.使用法人实体和中介机构,且已公开披露并合理解释其合法隐私安排.</w:t>
      </w:r>
    </w:p>
    <w:p>
      <w:pPr>
        <w:spacing w:line="360" w:lineRule="auto" w:after="20"/>
      </w:pPr>
      <w:r>
        <w:t>E.利用以现金或定期存款单作担保的贷款.</w:t>
      </w:r>
    </w:p>
    <w:p>
      <w:pPr>
        <w:spacing w:line="360" w:lineRule="auto" w:after="40"/>
      </w:pPr>
      <w:r>
        <w:t>答案:B、C</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识别通过名义第三方或壳公司隐藏真实买家的房地产洗钱警示信号</w:t>
      </w:r>
    </w:p>
    <w:p>
      <w:pPr>
        <w:spacing w:line="360" w:lineRule="auto" w:after="40"/>
      </w:pPr>
      <w:r>
        <w:rPr>
          <w:b/>
          <w:shd w:fill="D6E4F0" w:val="clear"/>
        </w:rPr>
        <w:t>核心解析：</w:t>
      </w:r>
    </w:p>
    <w:p>
      <w:pPr>
        <w:spacing w:line="360" w:lineRule="auto" w:after="40"/>
      </w:pPr>
      <w:r>
        <w:t>房地产洗钱的警示信号既包括</w:t>
      </w:r>
      <w:r>
        <w:rPr>
          <w:b/>
        </w:rPr>
        <w:t>买方身份和所有权结构异常</w:t>
      </w:r>
      <w:r>
        <w:t>，也包括在融资通常存在的地区由买方全部或主要以现金支付</w:t>
      </w:r>
      <w:r>
        <w:rPr>
          <w:sz w:val="15"/>
          <w:vertAlign w:val="superscript"/>
        </w:rPr>
        <w:t>P121-P122</w:t>
      </w:r>
      <w:r>
        <w:t xml:space="preserve">。选项B的“不相关第三方名义”直接对应 </w:t>
      </w:r>
      <w:r>
        <w:rPr>
          <w:b/>
        </w:rPr>
        <w:t>nominee 买家</w:t>
      </w:r>
      <w:r>
        <w:t>；选项C的全现金购买直接对应</w:t>
      </w:r>
      <w:r>
        <w:rPr>
          <w:b/>
        </w:rPr>
        <w:t>现金支付红旗</w:t>
      </w:r>
      <w:r>
        <w:t>，题干英文进一步说明现金来自出售房产或变现投资，但这并不消除“全现金支付”这一交易形式的风险指示性。A、D都只说使用公司、信托、法人实体或中介来保护隐私，未给出教材要求的“缺乏合理解释”或不相关名义人条件，因此在本题条件下不如 B、C 直接。</w:t>
      </w:r>
    </w:p>
    <w:p>
      <w:pPr>
        <w:spacing w:line="360" w:lineRule="auto" w:after="40"/>
      </w:pPr>
      <w:r>
        <w:rPr>
          <w:b/>
          <w:shd w:fill="D6E4F0" w:val="clear"/>
        </w:rPr>
        <w:t>教材原句：</w:t>
      </w:r>
    </w:p>
    <w:p>
      <w:pPr>
        <w:spacing w:line="360" w:lineRule="auto" w:after="40"/>
      </w:pPr>
      <w:r>
        <w:t>"For example, properties acquired by corporate entities, trusts, or nominees without a clear justification as to why they were not purchased directly by an individual are red flags."</w:t>
      </w:r>
      <w:r>
        <w:rPr>
          <w:sz w:val="15"/>
          <w:vertAlign w:val="superscript"/>
        </w:rPr>
        <w:t>P121</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公司或信托购买房产在缺乏合理解释时才更接近红旗</w:t>
      </w:r>
      <w:r>
        <w:rPr>
          <w:sz w:val="15"/>
          <w:vertAlign w:val="superscript"/>
        </w:rPr>
        <w:t>P121</w:t>
      </w:r>
      <w:r>
        <w:t>；A明确说明所有权透明且具有合理商业目的，不具备所有权遮蔽或缺乏解释的异常特征。</w:t>
      </w:r>
    </w:p>
    <w:p>
      <w:pPr>
        <w:spacing w:line="360" w:lineRule="auto" w:after="40"/>
      </w:pPr>
      <w:r>
        <w:rPr>
          <w:b/>
          <w:shd w:fill="D6E4F0" w:val="clear"/>
        </w:rPr>
        <w:t>D项错误：</w:t>
      </w:r>
    </w:p>
    <w:p>
      <w:pPr>
        <w:spacing w:line="360" w:lineRule="auto" w:after="40"/>
      </w:pPr>
      <w:r>
        <w:t>使用法人实体或中介只有在缺乏合理解释、掩盖真实所有权等条件下才更接近红旗</w:t>
      </w:r>
      <w:r>
        <w:rPr>
          <w:sz w:val="15"/>
          <w:vertAlign w:val="superscript"/>
        </w:rPr>
        <w:t>P121</w:t>
      </w:r>
      <w:r>
        <w:t>；D强调安排已公开披露且有合理解释，风险指示性较弱。</w:t>
      </w:r>
    </w:p>
    <w:p>
      <w:pPr>
        <w:spacing w:line="360" w:lineRule="auto" w:after="40"/>
      </w:pPr>
      <w:r>
        <w:rPr>
          <w:b/>
          <w:shd w:fill="D6E4F0" w:val="clear"/>
        </w:rPr>
        <w:t>E项错误：</w:t>
      </w:r>
    </w:p>
    <w:p>
      <w:pPr>
        <w:spacing w:line="360" w:lineRule="auto" w:after="40"/>
      </w:pPr>
      <w:r>
        <w:t>现金或存单担保贷款可能在其他信贷洗钱场景中需要关注，但E没有给出缺乏经济理由、异常提前还款或资金来源可疑等事实，与B、C所述房地产红旗相比不够直接。</w:t>
      </w:r>
    </w:p>
    <w:p>
      <w:pPr>
        <w:spacing w:line="360" w:lineRule="auto" w:after="40"/>
      </w:pPr>
      <w:r>
        <w:rPr>
          <w:b/>
          <w:shd w:fill="D6E4F0" w:val="clear"/>
        </w:rPr>
        <w:t>易错提醒：</w:t>
      </w:r>
    </w:p>
    <w:p>
      <w:pPr>
        <w:spacing w:line="360" w:lineRule="auto" w:after="40"/>
      </w:pPr>
      <w:r>
        <w:t>判断公司、信托或中介安排是否构成房地产红旗，关键不在于是否使用这些结构，而在于该结构是否缺乏合理解释、是否隐藏真实买方或受益所有人</w:t>
      </w:r>
      <w:r>
        <w:rPr>
          <w:sz w:val="15"/>
          <w:vertAlign w:val="superscript"/>
        </w:rPr>
        <w:t>P121</w:t>
      </w:r>
      <w:r>
        <w:t>。B明确使用不相关第三方名义，身份链条出现断裂；A、D则强调所有权透明并有合理解释，风险指示性较弱。</w:t>
      </w:r>
    </w:p>
    <w:p>
      <w:pPr>
        <w:spacing w:line="360" w:lineRule="auto" w:after="120"/>
      </w:pPr>
      <w:r/>
    </w:p>
    <w:p>
      <w:pPr>
        <w:spacing w:line="360" w:lineRule="auto" w:after="40"/>
      </w:pPr>
      <w:r>
        <w:t>20. 信托和公司服务提供商（TCSPs）提供的哪些服务存在最大的金融犯罪风险？（选择三项。）</w:t>
      </w:r>
    </w:p>
    <w:p>
      <w:pPr>
        <w:spacing w:line="360" w:lineRule="auto" w:after="20"/>
      </w:pPr>
      <w:r>
        <w:t>A.提供明确的程序以确保遵守当地税收法规</w:t>
      </w:r>
    </w:p>
    <w:p>
      <w:pPr>
        <w:spacing w:line="360" w:lineRule="auto" w:after="20"/>
      </w:pPr>
      <w:r>
        <w:t>B.利用信托掩盖受益所有人的身份</w:t>
      </w:r>
    </w:p>
    <w:p>
      <w:pPr>
        <w:spacing w:line="360" w:lineRule="auto" w:after="20"/>
      </w:pPr>
      <w:r>
        <w:t>C.推广使用复杂的公司结构</w:t>
      </w:r>
    </w:p>
    <w:p>
      <w:pPr>
        <w:spacing w:line="360" w:lineRule="auto" w:after="20"/>
      </w:pPr>
      <w:r>
        <w:t>D.为所有注册其服务的客户维护准确且最新的受益所有权详情</w:t>
      </w:r>
    </w:p>
    <w:p>
      <w:pPr>
        <w:spacing w:line="360" w:lineRule="auto" w:after="20"/>
      </w:pPr>
      <w:r>
        <w:t>E.设立空壳公司以持有金融资产</w:t>
      </w:r>
    </w:p>
    <w:p>
      <w:pPr>
        <w:spacing w:line="360" w:lineRule="auto" w:after="40"/>
      </w:pPr>
      <w:r>
        <w:t>答案:B、C、E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识别TCSP业务中掩盖受益所有权与利用复杂结构的高风险特征</w:t>
      </w:r>
    </w:p>
    <w:p>
      <w:pPr>
        <w:spacing w:line="360" w:lineRule="auto" w:after="40"/>
      </w:pPr>
      <w:r>
        <w:rPr>
          <w:b/>
          <w:shd w:fill="D6E4F0" w:val="clear"/>
        </w:rPr>
        <w:t>核心解析：</w:t>
      </w:r>
    </w:p>
    <w:p>
      <w:pPr>
        <w:spacing w:line="360" w:lineRule="auto" w:after="40"/>
      </w:pPr>
      <w:r>
        <w:t>信托与公司服务提供商（TCSP）业务范围包括设立壳公司、提供名义服务等</w:t>
      </w:r>
      <w:r>
        <w:rPr>
          <w:sz w:val="15"/>
          <w:vertAlign w:val="superscript"/>
        </w:rPr>
        <w:t>P120、P126</w:t>
      </w:r>
      <w:r>
        <w:t>。教材明确，TCSP创建的结构会</w:t>
      </w:r>
      <w:r>
        <w:rPr>
          <w:b/>
        </w:rPr>
        <w:t>掩盖受益所有人和资金来源</w:t>
      </w:r>
      <w:r>
        <w:t>，对寻求洗钱者极具吸引力</w:t>
      </w:r>
      <w:r>
        <w:rPr>
          <w:sz w:val="15"/>
          <w:vertAlign w:val="superscript"/>
        </w:rPr>
        <w:t>P126</w:t>
      </w:r>
      <w:r>
        <w:t>，律师和TCSP会通过创建</w:t>
      </w:r>
      <w:r>
        <w:rPr>
          <w:b/>
        </w:rPr>
        <w:t>复杂的公司结构</w:t>
      </w:r>
      <w:r>
        <w:t>来掩盖资金来源</w:t>
      </w:r>
      <w:r>
        <w:rPr>
          <w:sz w:val="15"/>
          <w:vertAlign w:val="superscript"/>
        </w:rPr>
        <w:t>P120</w:t>
      </w:r>
      <w:r>
        <w:t>。题干问TCSP提供的哪些服务存在最大的金融犯罪风险，选项B“利用信托掩盖受益所有人的身份”、选项C“推广使用复杂的公司结构”、选项E“设立空壳公司以持有金融资产”正好对应TCSP最常被滥用的高风险服务特征，三者直接体现了</w:t>
      </w:r>
      <w:r>
        <w:rPr>
          <w:b/>
        </w:rPr>
        <w:t>掩盖所有权、模糊资金来源</w:t>
      </w:r>
      <w:r>
        <w:t>的核心风险，故为正确项。</w:t>
      </w:r>
    </w:p>
    <w:p>
      <w:pPr>
        <w:spacing w:line="360" w:lineRule="auto" w:after="40"/>
      </w:pPr>
      <w:r>
        <w:rPr>
          <w:b/>
          <w:shd w:fill="D6E4F0" w:val="clear"/>
        </w:rPr>
        <w:t>教材原句：</w:t>
      </w:r>
    </w:p>
    <w:p>
      <w:pPr>
        <w:spacing w:line="360" w:lineRule="auto" w:after="40"/>
      </w:pPr>
      <w:r>
        <w:t>"Trust or company service providers: These providers create structures that obscure beneficial ownership and the origin of funds, making them attractive to individuals seeking to launder money."</w:t>
      </w:r>
      <w:r>
        <w:rPr>
          <w:sz w:val="15"/>
          <w:vertAlign w:val="superscript"/>
        </w:rPr>
        <w:t>P126</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明确的税务合规程序本质上是风险管控措施，而非金融犯罪风险的来源。题干所问的是风险最大的服务，相比直接涉及掩盖所有权的B、C、E，A的匹配度明显更低。</w:t>
      </w:r>
    </w:p>
    <w:p>
      <w:pPr>
        <w:spacing w:line="360" w:lineRule="auto" w:after="40"/>
      </w:pPr>
      <w:r>
        <w:rPr>
          <w:b/>
          <w:shd w:fill="D6E4F0" w:val="clear"/>
        </w:rPr>
        <w:t>D项错误：</w:t>
      </w:r>
    </w:p>
    <w:p>
      <w:pPr>
        <w:spacing w:line="360" w:lineRule="auto" w:after="40"/>
      </w:pPr>
      <w:r>
        <w:t>FATF建议要求确保主管机关能获取准确、最新的受益所有人信息，以增强透明度</w:t>
      </w:r>
      <w:r>
        <w:rPr>
          <w:sz w:val="15"/>
          <w:vertAlign w:val="superscript"/>
        </w:rPr>
        <w:t>P117、P149</w:t>
      </w:r>
      <w:r>
        <w:t>。维护受益所有权详情是防范洗钱的合规动作，属于降低风险而非产生风险的服务。它与掩盖受益所有人的方向相反，不符合题干对“风险最大”的要求。</w:t>
      </w:r>
    </w:p>
    <w:p>
      <w:pPr>
        <w:spacing w:line="360" w:lineRule="auto" w:after="40"/>
      </w:pPr>
      <w:r>
        <w:rPr>
          <w:b/>
          <w:shd w:fill="D6E4F0" w:val="clear"/>
        </w:rPr>
        <w:t>易错提醒：</w:t>
      </w:r>
    </w:p>
    <w:p>
      <w:pPr>
        <w:spacing w:line="360" w:lineRule="auto" w:after="40"/>
      </w:pPr>
      <w:r>
        <w:t>区分风险表现与风险控制：掩盖受益所有人（B）、推广复杂结构（C）、设立壳公司（E）是TCSP业务被滥用的典型风险表现</w:t>
      </w:r>
      <w:r>
        <w:rPr>
          <w:sz w:val="15"/>
          <w:vertAlign w:val="superscript"/>
        </w:rPr>
        <w:t>P120、P126</w:t>
      </w:r>
      <w:r>
        <w:t>；维护准确的受益所有权详情（D）和提供税务合规程序（A）则旨在提高透明度、降低风险</w:t>
      </w:r>
      <w:r>
        <w:rPr>
          <w:sz w:val="15"/>
          <w:vertAlign w:val="superscript"/>
        </w:rPr>
        <w:t>P117、P149</w:t>
      </w:r>
      <w:r>
        <w:t>。</w:t>
      </w:r>
    </w:p>
    <w:p>
      <w:pPr>
        <w:spacing w:line="360" w:lineRule="auto" w:after="120"/>
      </w:pPr>
      <w:r/>
    </w:p>
    <w:p>
      <w:pPr>
        <w:spacing w:line="360" w:lineRule="auto" w:after="40"/>
      </w:pPr>
      <w:r>
        <w:t>21. 以下哪种公司结构由于透明度降低而具有更高的洗钱风险？（选择三项。）</w:t>
      </w:r>
    </w:p>
    <w:p>
      <w:pPr>
        <w:spacing w:line="360" w:lineRule="auto" w:after="20"/>
      </w:pPr>
      <w:r>
        <w:t>A.在外国司法管辖区注册成立的有限责任公司</w:t>
      </w:r>
    </w:p>
    <w:p>
      <w:pPr>
        <w:spacing w:line="360" w:lineRule="auto" w:after="20"/>
      </w:pPr>
      <w:r>
        <w:t>B.一家在避税天堂管辖区没有任何业务活动的私营公司</w:t>
      </w:r>
    </w:p>
    <w:p>
      <w:pPr>
        <w:spacing w:line="360" w:lineRule="auto" w:after="20"/>
      </w:pPr>
      <w:r>
        <w:t>C.在当地司法管辖区设有代名股东和董事的公司</w:t>
      </w:r>
    </w:p>
    <w:p>
      <w:pPr>
        <w:spacing w:line="360" w:lineRule="auto" w:after="20"/>
      </w:pPr>
      <w:r>
        <w:t>D.一家在避税天堂司法管辖区注册成立的无记名股票公司</w:t>
      </w:r>
    </w:p>
    <w:p>
      <w:pPr>
        <w:spacing w:line="360" w:lineRule="auto" w:after="20"/>
      </w:pPr>
      <w:r>
        <w:t>E.一家在设有严格保密法的避税天堂司法管辖区注册成立的私人投资公司</w:t>
      </w:r>
    </w:p>
    <w:p>
      <w:pPr>
        <w:spacing w:line="360" w:lineRule="auto" w:after="40"/>
      </w:pPr>
      <w:r>
        <w:t>答案:C、D、E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识别因受益所有权透明度下降而增加洗钱风险的公司结构。</w:t>
      </w:r>
    </w:p>
    <w:p>
      <w:pPr>
        <w:spacing w:line="360" w:lineRule="auto" w:after="40"/>
      </w:pPr>
      <w:r>
        <w:rPr>
          <w:b/>
          <w:shd w:fill="D6E4F0" w:val="clear"/>
        </w:rPr>
        <w:t>核心解析：</w:t>
      </w:r>
    </w:p>
    <w:p>
      <w:pPr>
        <w:spacing w:line="360" w:lineRule="auto" w:after="40"/>
      </w:pPr>
      <w:r>
        <w:t>题干要求选择三种因透明度降低而具有较高风险的结构。C的</w:t>
      </w:r>
      <w:r>
        <w:rPr>
          <w:b/>
        </w:rPr>
        <w:t>代名股东和董事</w:t>
      </w:r>
      <w:r>
        <w:t>可能把实际控制人隐藏在名义人之后</w:t>
      </w:r>
      <w:r>
        <w:rPr>
          <w:sz w:val="15"/>
          <w:vertAlign w:val="superscript"/>
        </w:rPr>
        <w:t>P127</w:t>
      </w:r>
      <w:r>
        <w:t>；D的</w:t>
      </w:r>
      <w:r>
        <w:rPr>
          <w:b/>
        </w:rPr>
        <w:t>不记名股票</w:t>
      </w:r>
      <w:r>
        <w:t>以持有为权利基础，难以确认真实持有人</w:t>
      </w:r>
      <w:r>
        <w:rPr>
          <w:sz w:val="15"/>
          <w:vertAlign w:val="superscript"/>
        </w:rPr>
        <w:t>P55</w:t>
      </w:r>
      <w:r>
        <w:t>；E同时包含避税天堂、私人投资公司和严格保密法，进一步削弱受益所有权信息的可得性</w:t>
      </w:r>
      <w:r>
        <w:rPr>
          <w:sz w:val="15"/>
          <w:vertAlign w:val="superscript"/>
        </w:rPr>
        <w:t>P71</w:t>
      </w:r>
      <w:r>
        <w:t>。因此答案为C、D、E（FATF建议24、25）。</w:t>
      </w:r>
    </w:p>
    <w:p>
      <w:pPr>
        <w:spacing w:line="360" w:lineRule="auto" w:after="40"/>
      </w:pPr>
      <w:r>
        <w:t>A仅说明在外国司法管辖区注册，外国注册本身不意味着透明度必然降低；B虽然提到避税天堂，但“没有任何业务活动”不是受益所有权被遮蔽的直接机制。</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跨境注册可能增加尽调复杂度，但没有给出保密法、代名人或不记名股票等具体透明度障碍。</w:t>
      </w:r>
    </w:p>
    <w:p>
      <w:pPr>
        <w:spacing w:line="360" w:lineRule="auto" w:after="40"/>
      </w:pPr>
      <w:r>
        <w:rPr>
          <w:b/>
          <w:shd w:fill="D6E4F0" w:val="clear"/>
        </w:rPr>
        <w:t>B项错误：</w:t>
      </w:r>
    </w:p>
    <w:p>
      <w:pPr>
        <w:spacing w:line="360" w:lineRule="auto" w:after="40"/>
      </w:pPr>
      <w:r>
        <w:t>无业务活动可能提示空壳风险，但单独不足以证明受益所有权信息不可得。</w:t>
      </w:r>
    </w:p>
    <w:p>
      <w:pPr>
        <w:spacing w:line="360" w:lineRule="auto" w:after="40"/>
      </w:pPr>
      <w:r>
        <w:rPr>
          <w:b/>
          <w:shd w:fill="D6E4F0" w:val="clear"/>
        </w:rPr>
        <w:t>易错提醒：</w:t>
      </w:r>
    </w:p>
    <w:p>
      <w:pPr>
        <w:spacing w:line="360" w:lineRule="auto" w:after="40"/>
      </w:pPr>
      <w:r>
        <w:t>要区分“外国注册/避税天堂标签”与真正造成透明度下降的机制；优先识别代名安排、不记名股票和保密法</w:t>
      </w:r>
      <w:r>
        <w:rPr>
          <w:sz w:val="15"/>
          <w:vertAlign w:val="superscript"/>
        </w:rPr>
        <w:t>P55、P71、P127</w:t>
      </w:r>
      <w:r>
        <w:t>。</w:t>
      </w:r>
    </w:p>
    <w:p>
      <w:pPr>
        <w:spacing w:line="360" w:lineRule="auto" w:after="120"/>
      </w:pPr>
      <w:r/>
    </w:p>
    <w:p>
      <w:pPr>
        <w:spacing w:line="360" w:lineRule="auto" w:after="40"/>
      </w:pPr>
      <w:r>
        <w:t>22. 哪些关键的金融犯罪风险与远程博彩行业直接相关？（选择三项。）</w:t>
      </w:r>
    </w:p>
    <w:p>
      <w:pPr>
        <w:spacing w:line="360" w:lineRule="auto" w:after="20"/>
      </w:pPr>
      <w:r>
        <w:t>A.客户未亲自到场进行身份验证。</w:t>
      </w:r>
    </w:p>
    <w:p>
      <w:pPr>
        <w:spacing w:line="360" w:lineRule="auto" w:after="20"/>
      </w:pPr>
      <w:r>
        <w:t>B.存入大量现金的客户。</w:t>
      </w:r>
    </w:p>
    <w:p>
      <w:pPr>
        <w:spacing w:line="360" w:lineRule="auto" w:after="20"/>
      </w:pPr>
      <w:r>
        <w:t>C.使用匿名预付卡的客户。</w:t>
      </w:r>
    </w:p>
    <w:p>
      <w:pPr>
        <w:spacing w:line="360" w:lineRule="auto" w:after="20"/>
      </w:pPr>
      <w:r>
        <w:t>D.超出自身承受能力进行投注的客户。</w:t>
      </w:r>
    </w:p>
    <w:p>
      <w:pPr>
        <w:spacing w:line="360" w:lineRule="auto" w:after="20"/>
      </w:pPr>
      <w:r>
        <w:t>E.客户为规避强化尽职调查而频繁进行小额交易。</w:t>
      </w:r>
    </w:p>
    <w:p>
      <w:pPr>
        <w:spacing w:line="360" w:lineRule="auto" w:after="40"/>
      </w:pPr>
      <w:r>
        <w:t>答案:A、C、E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识别远程博彩特有的非面对面、匿名化与规避CDD风险</w:t>
      </w:r>
    </w:p>
    <w:p>
      <w:pPr>
        <w:spacing w:line="360" w:lineRule="auto" w:after="40"/>
      </w:pPr>
      <w:r>
        <w:rPr>
          <w:b/>
          <w:shd w:fill="D6E4F0" w:val="clear"/>
        </w:rPr>
        <w:t>核心解析：</w:t>
      </w:r>
    </w:p>
    <w:p>
      <w:pPr>
        <w:spacing w:line="360" w:lineRule="auto" w:after="40"/>
      </w:pPr>
      <w:r>
        <w:t>远程博彩的核心风险在于“</w:t>
      </w:r>
      <w:r>
        <w:rPr>
          <w:b/>
        </w:rPr>
        <w:t>非面对面</w:t>
      </w:r>
      <w:r>
        <w:t>”交互引入的匿名性漏洞。教材指出，在线博彩运营商远程为客户开户，使其面临</w:t>
      </w:r>
      <w:r>
        <w:rPr>
          <w:b/>
        </w:rPr>
        <w:t>高风险司法管辖区敞口</w:t>
      </w:r>
      <w:r>
        <w:t>并增加了</w:t>
      </w:r>
      <w:r>
        <w:rPr>
          <w:b/>
        </w:rPr>
        <w:t>身份欺诈</w:t>
      </w:r>
      <w:r>
        <w:t>的风险，因为缺乏必要的控制措施</w:t>
      </w:r>
      <w:r>
        <w:rPr>
          <w:sz w:val="15"/>
          <w:vertAlign w:val="superscript"/>
        </w:rPr>
        <w:t>P120</w:t>
      </w:r>
      <w:r>
        <w:t>。同时，博彩业面临通过第三方或多笔交易来规避报告门槛的“</w:t>
      </w:r>
      <w:r>
        <w:rPr>
          <w:b/>
        </w:rPr>
        <w:t>结构化交易</w:t>
      </w:r>
      <w:r>
        <w:t>”风险</w:t>
      </w:r>
      <w:r>
        <w:rPr>
          <w:sz w:val="15"/>
          <w:vertAlign w:val="superscript"/>
        </w:rPr>
        <w:t>P121</w:t>
      </w:r>
      <w:r>
        <w:t>。预付卡则因可匿名购买和充值，且了解你的客户要求极低，极易被用于</w:t>
      </w:r>
      <w:r>
        <w:rPr>
          <w:b/>
        </w:rPr>
        <w:t>转移非法资金</w:t>
      </w:r>
      <w:r>
        <w:rPr>
          <w:sz w:val="15"/>
          <w:vertAlign w:val="superscript"/>
        </w:rPr>
        <w:t>P68</w:t>
      </w:r>
      <w:r>
        <w:t>。题干A、C、E三项分别对应远程博彩的非面对面身份验证缺陷、高度匿名化的价值转移工具，以及为规避强化尽职调查而刻意拆分交易金额的行为，直接指向该行业特有的金融犯罪风险链条。</w:t>
      </w:r>
    </w:p>
    <w:p>
      <w:pPr>
        <w:spacing w:line="360" w:lineRule="auto" w:after="40"/>
      </w:pPr>
      <w:r>
        <w:rPr>
          <w:b/>
          <w:shd w:fill="D6E4F0" w:val="clear"/>
        </w:rPr>
        <w:t>教材原句：</w:t>
      </w:r>
    </w:p>
    <w:p>
      <w:pPr>
        <w:spacing w:line="360" w:lineRule="auto" w:after="40"/>
      </w:pPr>
      <w:r>
        <w:t>"Since online gaming operators onboard customers remotely, they might face exposure to high-risk jurisdictions."</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教材指出实体赌场因“大量现金交易”而特别容易遭受洗钱风险</w:t>
      </w:r>
      <w:r>
        <w:rPr>
          <w:sz w:val="15"/>
          <w:vertAlign w:val="superscript"/>
        </w:rPr>
        <w:t>P120</w:t>
      </w:r>
      <w:r>
        <w:t>，但题干特指“远程博彩”，其非面对面交互的特征与大规模的实体现金存款在场景上匹配度较低，相比之下正确项A更直接聚焦于远程场景下的身份验证漏洞。</w:t>
      </w:r>
    </w:p>
    <w:p>
      <w:pPr>
        <w:spacing w:line="360" w:lineRule="auto" w:after="40"/>
      </w:pPr>
      <w:r>
        <w:rPr>
          <w:b/>
          <w:shd w:fill="D6E4F0" w:val="clear"/>
        </w:rPr>
        <w:t>D项错误：</w:t>
      </w:r>
    </w:p>
    <w:p>
      <w:pPr>
        <w:spacing w:line="360" w:lineRule="auto" w:after="40"/>
      </w:pPr>
      <w:r>
        <w:t>教材未将“超出自身承受能力投注”列入金融犯罪风险的直接考量，这更多属于消费者保护或个人责任问题，而非反洗钱视角下的金融犯罪风险指标，因此不如正确项E那样明确指向规避控制的结构化行为。</w:t>
      </w:r>
    </w:p>
    <w:p>
      <w:pPr>
        <w:spacing w:line="360" w:lineRule="auto" w:after="40"/>
      </w:pPr>
      <w:r>
        <w:rPr>
          <w:b/>
          <w:shd w:fill="D6E4F0" w:val="clear"/>
        </w:rPr>
        <w:t>易错提醒：</w:t>
      </w:r>
    </w:p>
    <w:p>
      <w:pPr>
        <w:spacing w:line="360" w:lineRule="auto" w:after="40"/>
      </w:pPr>
      <w:r>
        <w:t>注意区分“实体赌场的风险特征”与“远程博彩的特有风险”：前者侧重于大量现金匿名兑换筹码</w:t>
      </w:r>
      <w:r>
        <w:rPr>
          <w:sz w:val="15"/>
          <w:vertAlign w:val="superscript"/>
        </w:rPr>
        <w:t>P120</w:t>
      </w:r>
      <w:r>
        <w:t>，后者则更侧重于非面对面开户的身份伪造、远程使用匿名化工具及结构化交易规避线上的监测阈值</w:t>
      </w:r>
      <w:r>
        <w:rPr>
          <w:sz w:val="15"/>
          <w:vertAlign w:val="superscript"/>
        </w:rPr>
        <w:t>P120-P121</w:t>
      </w:r>
      <w:r>
        <w:t>。</w:t>
      </w:r>
    </w:p>
    <w:p>
      <w:pPr>
        <w:spacing w:line="360" w:lineRule="auto" w:after="120"/>
      </w:pPr>
      <w:r/>
    </w:p>
    <w:p>
      <w:pPr>
        <w:spacing w:line="360" w:lineRule="auto" w:after="40"/>
      </w:pPr>
      <w:r>
        <w:t>23. 专业服务提供者-包括律师、会计师、投资经纪以及其他第三方-可能会滥用其职位为洗钱提供便利.这种滥用行为与哪些金融犯罪风险相关？（选择三项。）</w:t>
      </w:r>
    </w:p>
    <w:p>
      <w:pPr>
        <w:spacing w:line="360" w:lineRule="auto" w:after="20"/>
      </w:pPr>
      <w:r>
        <w:t>A.为客户开设账户以处理遗产事宜</w:t>
      </w:r>
    </w:p>
    <w:p>
      <w:pPr>
        <w:spacing w:line="360" w:lineRule="auto" w:after="20"/>
      </w:pPr>
      <w:r>
        <w:t>B.设立空壳公司以实施洗钱活动,包括资金的置入或分层操作</w:t>
      </w:r>
    </w:p>
    <w:p>
      <w:pPr>
        <w:spacing w:line="360" w:lineRule="auto" w:after="20"/>
      </w:pPr>
      <w:r>
        <w:t>C.为掩盖实际客户身份而开设第三方账户</w:t>
      </w:r>
    </w:p>
    <w:p>
      <w:pPr>
        <w:spacing w:line="360" w:lineRule="auto" w:after="20"/>
      </w:pPr>
      <w:r>
        <w:t>D.开设信托账户以促进合法的房地产交易</w:t>
      </w:r>
    </w:p>
    <w:p>
      <w:pPr>
        <w:spacing w:line="360" w:lineRule="auto" w:after="20"/>
      </w:pPr>
      <w:r>
        <w:t>E.指导或协助洗钱,包括安排交易以规避监管</w:t>
      </w:r>
    </w:p>
    <w:p>
      <w:pPr>
        <w:spacing w:line="360" w:lineRule="auto" w:after="40"/>
      </w:pPr>
      <w:r>
        <w:t>答案:B、C、E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w:t>
      </w:r>
      <w:r>
        <w:rPr>
          <w:b/>
        </w:rPr>
        <w:t>专业服务提供者被滥用于洗钱的典型风险手法</w:t>
      </w:r>
    </w:p>
    <w:p>
      <w:pPr>
        <w:spacing w:line="360" w:lineRule="auto" w:after="40"/>
      </w:pPr>
      <w:r>
        <w:rPr>
          <w:b/>
          <w:shd w:fill="D6E4F0" w:val="clear"/>
        </w:rPr>
        <w:t>核心解析：</w:t>
      </w:r>
    </w:p>
    <w:p>
      <w:pPr>
        <w:spacing w:line="360" w:lineRule="auto" w:after="40"/>
      </w:pPr>
      <w:r>
        <w:rPr>
          <w:b/>
        </w:rPr>
        <w:t>专业服务提供者</w:t>
      </w:r>
      <w:r>
        <w:t>（如律师、会计师、信托与公司服务提供商等）常被称为“看门人”，其专业知识和合法身份容易被犯罪分子利用来</w:t>
      </w:r>
      <w:r>
        <w:rPr>
          <w:b/>
        </w:rPr>
        <w:t>搭建洗钱结构、隐藏受益所有人身份或协助非法资金流动</w:t>
      </w:r>
      <w:r>
        <w:rPr>
          <w:sz w:val="15"/>
          <w:vertAlign w:val="superscript"/>
        </w:rPr>
        <w:t>P119</w:t>
      </w:r>
      <w:r>
        <w:t>。教材指出，律师可能协助设立信托或壳公司等复杂结构以隐藏真实受益人</w:t>
      </w:r>
      <w:r>
        <w:rPr>
          <w:sz w:val="15"/>
          <w:vertAlign w:val="superscript"/>
        </w:rPr>
        <w:t>P119</w:t>
      </w:r>
      <w:r>
        <w:t>；信托与公司服务提供商可能提供名义服务或开设账户以掩盖真实所有权</w:t>
      </w:r>
      <w:r>
        <w:rPr>
          <w:sz w:val="15"/>
          <w:vertAlign w:val="superscript"/>
        </w:rPr>
        <w:t>P126</w:t>
      </w:r>
      <w:r>
        <w:t>；会计师可能在放款和分层阶段无意中协助使非法交易看似合法</w:t>
      </w:r>
      <w:r>
        <w:rPr>
          <w:sz w:val="15"/>
          <w:vertAlign w:val="superscript"/>
        </w:rPr>
        <w:t>P120</w:t>
      </w:r>
      <w:r>
        <w:t>；犯罪分子经常利用法律专业人士的服务来隐瞒非法资金、为欺诈交易提供便利或以模糊资金源头的方式安排交易</w:t>
      </w:r>
      <w:r>
        <w:rPr>
          <w:sz w:val="15"/>
          <w:vertAlign w:val="superscript"/>
        </w:rPr>
        <w:t>P125</w:t>
      </w:r>
      <w:r>
        <w:t>。题干中“专业服务提供者滥用其职位为洗钱提供便利”恰好对应上述三类情形：选项B对应设立壳公司进行放置和分层；选项C对应用第三方账户掩盖客户身份；选项E对应直接指导或协助洗钱，包括规避监管的结构化交易。</w:t>
      </w:r>
    </w:p>
    <w:p>
      <w:pPr>
        <w:spacing w:line="360" w:lineRule="auto" w:after="40"/>
      </w:pPr>
      <w:r>
        <w:rPr>
          <w:b/>
          <w:shd w:fill="D6E4F0" w:val="clear"/>
        </w:rPr>
        <w:t>教材原句：</w:t>
      </w:r>
    </w:p>
    <w:p>
      <w:pPr>
        <w:spacing w:line="360" w:lineRule="auto" w:after="40"/>
      </w:pPr>
      <w:r>
        <w:t>"Lawyers might assist in establishing complex structures, such as trusts or shell companies, which can conceal the identities of true beneficiaries."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为客户开设账户以处理遗产事宜”描述的是律师等专业服务者的一项常规合法业务，其本身与滥用职位为洗钱提供便利的目的没有直接关联。如果该账户随后被用于异常资金划转，这才可能触发洗钱风险。题干问的是滥用职位的主行为，而非后续的被动载体。</w:t>
      </w:r>
    </w:p>
    <w:p>
      <w:pPr>
        <w:spacing w:line="360" w:lineRule="auto" w:after="40"/>
      </w:pPr>
      <w:r>
        <w:rPr>
          <w:b/>
          <w:shd w:fill="D6E4F0" w:val="clear"/>
        </w:rPr>
        <w:t>D项错误：</w:t>
      </w:r>
    </w:p>
    <w:p>
      <w:pPr>
        <w:spacing w:line="360" w:lineRule="auto" w:after="40"/>
      </w:pPr>
      <w:r>
        <w:t>“开设信托账户以促进合法的房地产交易”被教材描述为信托的合法用途之一，包括继承规划、财富保护和加快遗嘱认证</w:t>
      </w:r>
      <w:r>
        <w:rPr>
          <w:sz w:val="15"/>
          <w:vertAlign w:val="superscript"/>
        </w:rPr>
        <w:t>P73</w:t>
      </w:r>
      <w:r>
        <w:t>。题干关键词是“滥用”，即利用专业身份从事不当行为，与“促进合法的交易”方向相反。虽然房地产交易和信托确实可能被滥用，但选项本身的定语“合法的”使之不构成直接的滥用风险行为。</w:t>
      </w:r>
    </w:p>
    <w:p>
      <w:pPr>
        <w:spacing w:line="360" w:lineRule="auto" w:after="40"/>
      </w:pPr>
      <w:r>
        <w:rPr>
          <w:b/>
          <w:shd w:fill="D6E4F0" w:val="clear"/>
        </w:rPr>
        <w:t>易错提醒：</w:t>
      </w:r>
    </w:p>
    <w:p>
      <w:pPr>
        <w:spacing w:line="360" w:lineRule="auto" w:after="40"/>
      </w:pPr>
      <w:r>
        <w:t>注意区分一项业务</w:t>
      </w:r>
      <w:r>
        <w:rPr>
          <w:b/>
        </w:rPr>
        <w:t>“可能被滥用为洗钱工具”</w:t>
      </w:r>
      <w:r>
        <w:t>与</w:t>
      </w:r>
      <w:r>
        <w:rPr>
          <w:b/>
        </w:rPr>
        <w:t>“本身构成滥用执业行为”</w:t>
      </w:r>
      <w:r>
        <w:t>：题干问的是后者，而非前者。教材在描述信托或房地产时都会先列出合法用途，再分析滥用的可能性，考的是这一区分的敏感度。</w:t>
      </w:r>
    </w:p>
    <w:p>
      <w:pPr>
        <w:spacing w:line="360" w:lineRule="auto" w:after="120"/>
      </w:pPr>
      <w:r/>
    </w:p>
    <w:p>
      <w:pPr>
        <w:spacing w:line="360" w:lineRule="auto" w:after="40"/>
      </w:pPr>
      <w:r>
        <w:t>24. 以下哪些活动被金融行动特别工作组(FATF)认定为可能通过房地产行业洗钱的迹象?(选择四项.)</w:t>
      </w:r>
    </w:p>
    <w:p>
      <w:pPr>
        <w:spacing w:line="360" w:lineRule="auto" w:after="20"/>
      </w:pPr>
      <w:r>
        <w:t>A.抵押贷款产品的使用</w:t>
      </w:r>
    </w:p>
    <w:p>
      <w:pPr>
        <w:spacing w:line="360" w:lineRule="auto" w:after="20"/>
      </w:pPr>
      <w:r>
        <w:t>B.商业用途与声明的业务目的不符的商业物业使用情况</w:t>
      </w:r>
    </w:p>
    <w:p>
      <w:pPr>
        <w:spacing w:line="360" w:lineRule="auto" w:after="20"/>
      </w:pPr>
      <w:r>
        <w:t>C.复杂贷款或信贷融资的使用</w:t>
      </w:r>
    </w:p>
    <w:p>
      <w:pPr>
        <w:spacing w:line="360" w:lineRule="auto" w:after="20"/>
      </w:pPr>
      <w:r>
        <w:t>D.使用公司载体或复杂的所有权结构</w:t>
      </w:r>
    </w:p>
    <w:p>
      <w:pPr>
        <w:spacing w:line="360" w:lineRule="auto" w:after="20"/>
      </w:pPr>
      <w:r>
        <w:t>E.无法解释的现金支付</w:t>
      </w:r>
    </w:p>
    <w:p>
      <w:pPr>
        <w:spacing w:line="360" w:lineRule="auto" w:after="20"/>
      </w:pPr>
      <w:r>
        <w:t>F.农村地区农业用地的使用</w:t>
      </w:r>
    </w:p>
    <w:p>
      <w:pPr>
        <w:spacing w:line="360" w:lineRule="auto" w:after="40"/>
      </w:pPr>
      <w:r>
        <w:t>答案:B、C、D、E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w:t>
      </w:r>
      <w:r>
        <w:rPr>
          <w:b/>
        </w:rPr>
        <w:t>FATF认定的房地产洗钱迹象</w:t>
      </w:r>
      <w:r>
        <w:t>，区分正常金融工具与异常交易模式</w:t>
      </w:r>
    </w:p>
    <w:p>
      <w:pPr>
        <w:spacing w:line="360" w:lineRule="auto" w:after="40"/>
      </w:pPr>
      <w:r>
        <w:rPr>
          <w:b/>
          <w:shd w:fill="D6E4F0" w:val="clear"/>
        </w:rPr>
        <w:t>核心解析：</w:t>
      </w:r>
    </w:p>
    <w:p>
      <w:pPr>
        <w:spacing w:line="360" w:lineRule="auto" w:after="40"/>
      </w:pPr>
      <w:r>
        <w:t>房地产交易因涉及大额资金、有形资产及第三方中介，为掩饰非法资金来源提供机会</w:t>
      </w:r>
      <w:r>
        <w:rPr>
          <w:sz w:val="15"/>
          <w:vertAlign w:val="superscript"/>
        </w:rPr>
        <w:t>P121</w:t>
      </w:r>
      <w:r>
        <w:t>。FATF认定的房地产洗钱迹象围绕三个维度：</w:t>
      </w:r>
      <w:r>
        <w:rPr>
          <w:b/>
        </w:rPr>
        <w:t>交易目的与实质不符、资金性质异常、所有权结构隐匿</w:t>
      </w:r>
      <w:r>
        <w:t>。选项B“商业物业用途与声明业务目的不符”吻合账户活动与目的不一致这一风险指标</w:t>
      </w:r>
      <w:r>
        <w:rPr>
          <w:sz w:val="15"/>
          <w:vertAlign w:val="superscript"/>
        </w:rPr>
        <w:t>P138</w:t>
      </w:r>
      <w:r>
        <w:t>，商业物业的实际使用偏离其声称的业务目的，暗示以物业为幌子从事其他活动。选项C“复杂贷款或信贷融资的使用”——信贷相关产品虽为基本金融服务，但也带来重大洗钱风险</w:t>
      </w:r>
      <w:r>
        <w:rPr>
          <w:sz w:val="15"/>
          <w:vertAlign w:val="superscript"/>
        </w:rPr>
        <w:t>P67</w:t>
      </w:r>
      <w:r>
        <w:t>，复杂的融资安排（如无关联第三方之间的贷款协议，</w:t>
      </w:r>
      <w:r>
        <w:rPr>
          <w:sz w:val="15"/>
          <w:vertAlign w:val="superscript"/>
        </w:rPr>
        <w:t>P128</w:t>
      </w:r>
      <w:r>
        <w:t>）可被用于转移非法资金、混淆资金流向，在房地产场景中构成可疑迹象。选项D“使用公司载体或复杂的所有权结构”直接对应教材核心结论：买卖或租赁房地产通过模糊所有权结构掩饰资金来源</w:t>
      </w:r>
      <w:r>
        <w:rPr>
          <w:sz w:val="15"/>
          <w:vertAlign w:val="superscript"/>
        </w:rPr>
        <w:t>P121</w:t>
      </w:r>
      <w:r>
        <w:t>，壳公司等载体使真实受益所有人难以追踪</w:t>
      </w:r>
      <w:r>
        <w:rPr>
          <w:sz w:val="15"/>
          <w:vertAlign w:val="superscript"/>
        </w:rPr>
        <w:t>P128</w:t>
      </w:r>
      <w:r>
        <w:t>。选项E“无法解释的现金支付”——现金交易因难以追踪而增加洗钱风险</w:t>
      </w:r>
      <w:r>
        <w:rPr>
          <w:sz w:val="15"/>
          <w:vertAlign w:val="superscript"/>
        </w:rPr>
        <w:t>P122</w:t>
      </w:r>
      <w:r>
        <w:t>，全部或主要用现金支付是房地产洗钱的红旗信号</w:t>
      </w:r>
      <w:r>
        <w:rPr>
          <w:sz w:val="15"/>
          <w:vertAlign w:val="superscript"/>
        </w:rPr>
        <w:t>P122</w:t>
      </w:r>
      <w:r>
        <w:t>，“无法解释”强化了其可疑性质。</w:t>
      </w:r>
    </w:p>
    <w:p>
      <w:pPr>
        <w:spacing w:line="360" w:lineRule="auto" w:after="40"/>
      </w:pPr>
      <w:r>
        <w:rPr>
          <w:b/>
          <w:shd w:fill="D6E4F0" w:val="clear"/>
        </w:rPr>
        <w:t>教材原句：</w:t>
      </w:r>
    </w:p>
    <w:p>
      <w:pPr>
        <w:spacing w:line="360" w:lineRule="auto" w:after="40"/>
      </w:pPr>
      <w:r>
        <w:t>"Buying, selling, or renting properties presents opportunities for criminals to disguise the origin of funds through obscured ownership structures."</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抵押贷款产品（如住房融资、有担保贷款）在教材中被归类为基本信贷产品</w:t>
      </w:r>
      <w:r>
        <w:rPr>
          <w:sz w:val="15"/>
          <w:vertAlign w:val="superscript"/>
        </w:rPr>
        <w:t>P67</w:t>
      </w:r>
      <w:r>
        <w:t>，本身是合法金融工具。题干寻找的是FATF认定的“可能表明洗钱”的异常迹象，而单纯使用抵押贷款属于正常交易行为，缺乏“异常性”这一关键要素。相比之下，复杂贷款或自成一类的信贷融资安排（选项C）更直接匹配可疑交易模式。</w:t>
      </w:r>
    </w:p>
    <w:p>
      <w:pPr>
        <w:spacing w:line="360" w:lineRule="auto" w:after="40"/>
      </w:pPr>
      <w:r>
        <w:rPr>
          <w:b/>
          <w:shd w:fill="D6E4F0" w:val="clear"/>
        </w:rPr>
        <w:t>F项错误：</w:t>
      </w:r>
    </w:p>
    <w:p>
      <w:pPr>
        <w:spacing w:line="360" w:lineRule="auto" w:after="40"/>
      </w:pPr>
      <w:r>
        <w:t>教材在讨论房地产行业洗钱风险时</w:t>
      </w:r>
      <w:r>
        <w:rPr>
          <w:sz w:val="15"/>
          <w:vertAlign w:val="superscript"/>
        </w:rPr>
        <w:t>P119-P122</w:t>
      </w:r>
      <w:r>
        <w:t>，聚焦于交易方式（现金支付）、所有权结构（公司载体）、跨境因素和国际买家等，未将特定土地类型（如农业用地或农村地区）列为风险因素。FATF认定的迹象关注的是交易行为特征而非财产的地理分类，题干要素中缺乏支持该选项所需的教材依据。</w:t>
      </w:r>
    </w:p>
    <w:p>
      <w:pPr>
        <w:spacing w:line="360" w:lineRule="auto" w:after="40"/>
      </w:pPr>
      <w:r>
        <w:rPr>
          <w:b/>
          <w:shd w:fill="D6E4F0" w:val="clear"/>
        </w:rPr>
        <w:t>易错提醒：</w:t>
      </w:r>
    </w:p>
    <w:p>
      <w:pPr>
        <w:spacing w:line="360" w:lineRule="auto" w:after="40"/>
      </w:pPr>
      <w:r>
        <w:t>常规金融产品与洗钱风险指标的区别：</w:t>
      </w:r>
      <w:r>
        <w:rPr>
          <w:b/>
        </w:rPr>
        <w:t>抵押贷款等基础信贷产品</w:t>
      </w:r>
      <w:r>
        <w:t>本身是合法工具</w:t>
      </w:r>
      <w:r>
        <w:rPr>
          <w:sz w:val="15"/>
          <w:vertAlign w:val="superscript"/>
        </w:rPr>
        <w:t>P67</w:t>
      </w:r>
      <w:r>
        <w:t>，其“使用”不构成洗钱迹象；而</w:t>
      </w:r>
      <w:r>
        <w:rPr>
          <w:b/>
        </w:rPr>
        <w:t>复杂贷款或信贷融资</w:t>
      </w:r>
      <w:r>
        <w:t>（选项C）指向非标准化的融资安排——如无关联第三方间的贷款协议</w:t>
      </w:r>
      <w:r>
        <w:rPr>
          <w:sz w:val="15"/>
          <w:vertAlign w:val="superscript"/>
        </w:rPr>
        <w:t>P128</w:t>
      </w:r>
      <w:r>
        <w:t>，这些结构异常性才是FATF关注的风险信号。</w:t>
      </w:r>
    </w:p>
    <w:p>
      <w:pPr>
        <w:spacing w:line="360" w:lineRule="auto" w:after="120"/>
      </w:pPr>
      <w:r/>
    </w:p>
    <w:p>
      <w:pPr>
        <w:spacing w:line="360" w:lineRule="auto" w:after="40"/>
      </w:pPr>
      <w:r>
        <w:t>25. 被提名人如何为滥用其进行洗钱活动的犯罪分子提供便利?（选择两项。）</w:t>
      </w:r>
    </w:p>
    <w:p>
      <w:pPr>
        <w:spacing w:line="360" w:lineRule="auto" w:after="20"/>
      </w:pPr>
      <w:r>
        <w:t>A.允许受益所有人就公司决策提供代理投票权</w:t>
      </w:r>
    </w:p>
    <w:p>
      <w:pPr>
        <w:spacing w:line="360" w:lineRule="auto" w:after="20"/>
      </w:pPr>
      <w:r>
        <w:t>B.不透明的实际所有权</w:t>
      </w:r>
    </w:p>
    <w:p>
      <w:pPr>
        <w:spacing w:line="360" w:lineRule="auto" w:after="20"/>
      </w:pPr>
      <w:r>
        <w:t>C.允许在被提名人所在司法管辖区设立住所</w:t>
      </w:r>
    </w:p>
    <w:p>
      <w:pPr>
        <w:spacing w:line="360" w:lineRule="auto" w:after="20"/>
      </w:pPr>
      <w:r>
        <w:t>D.干扰调查</w:t>
      </w:r>
    </w:p>
    <w:p>
      <w:pPr>
        <w:spacing w:line="360" w:lineRule="auto" w:after="40"/>
      </w:pPr>
      <w:r>
        <w:t>答案:B、D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识别被提名人便利洗钱的核心机制：</w:t>
      </w:r>
      <w:r>
        <w:rPr>
          <w:b/>
        </w:rPr>
        <w:t>隐藏所有权</w:t>
      </w:r>
      <w:r>
        <w:t>与</w:t>
      </w:r>
      <w:r>
        <w:rPr>
          <w:b/>
        </w:rPr>
        <w:t>阻碍调查</w:t>
      </w:r>
    </w:p>
    <w:p>
      <w:pPr>
        <w:spacing w:line="360" w:lineRule="auto" w:after="40"/>
      </w:pPr>
      <w:r>
        <w:rPr>
          <w:b/>
          <w:shd w:fill="D6E4F0" w:val="clear"/>
        </w:rPr>
        <w:t>核心解析：</w:t>
      </w:r>
    </w:p>
    <w:p>
      <w:pPr>
        <w:spacing w:line="360" w:lineRule="auto" w:after="40"/>
      </w:pPr>
      <w:r>
        <w:rPr>
          <w:b/>
        </w:rPr>
        <w:t>被提名人</w:t>
      </w:r>
      <w:r>
        <w:t>指由第三方代表客户担任名义董事或股东</w:t>
      </w:r>
      <w:r>
        <w:rPr>
          <w:sz w:val="15"/>
          <w:vertAlign w:val="superscript"/>
        </w:rPr>
        <w:t>P127</w:t>
      </w:r>
      <w:r>
        <w:t>。这一结构对洗钱活动的核心便利体现在两个维度：其一，</w:t>
      </w:r>
      <w:r>
        <w:rPr>
          <w:b/>
        </w:rPr>
        <w:t>掩饰受益所有权</w:t>
      </w:r>
      <w:r>
        <w:t>——名义董事或股东可被用于隐藏最终受益所有人身份，由此形成的匿名层通过模糊化增加了洗钱风险</w:t>
      </w:r>
      <w:r>
        <w:rPr>
          <w:sz w:val="15"/>
          <w:vertAlign w:val="superscript"/>
        </w:rPr>
        <w:t>P127</w:t>
      </w:r>
      <w:r>
        <w:t>，这直接对应选项B“不透明的实际所有权”；其二，</w:t>
      </w:r>
      <w:r>
        <w:rPr>
          <w:b/>
        </w:rPr>
        <w:t>隔离真实控制人</w:t>
      </w:r>
      <w:r>
        <w:t>——犯罪分子利用名义结构远离非法活动，并将其作为在监管薄弱司法管辖区转移资金的掩护</w:t>
      </w:r>
      <w:r>
        <w:rPr>
          <w:sz w:val="15"/>
          <w:vertAlign w:val="superscript"/>
        </w:rPr>
        <w:t>P127</w:t>
      </w:r>
      <w:r>
        <w:t>，使调查和追查更加困难，因此选项D“干扰调查”在给定选项中更符合该结构造成的后果。两个正确项分别从所有权透明度和追查难度角度，说明了同一名义人结构的洗钱便利效果。</w:t>
      </w:r>
    </w:p>
    <w:p>
      <w:pPr>
        <w:spacing w:line="360" w:lineRule="auto" w:after="40"/>
      </w:pPr>
      <w:r>
        <w:rPr>
          <w:b/>
          <w:shd w:fill="D6E4F0" w:val="clear"/>
        </w:rPr>
        <w:t>教材原句：</w:t>
      </w:r>
    </w:p>
    <w:p>
      <w:pPr>
        <w:spacing w:line="360" w:lineRule="auto" w:after="40"/>
      </w:pPr>
      <w:r>
        <w:t>"These nominee directors or shareholders can be used to conceal the identity of the UBO or operator of the business, creating a layer of anonymity that heightens money laundering risks through obfuscation."</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题干和被提名人相关证据均聚焦于隐藏所有权和干扰调查的机制，未涉及代理投票权。选项A所需要素在本材料的被提名人语境下没有直接支撑。</w:t>
      </w:r>
    </w:p>
    <w:p>
      <w:pPr>
        <w:spacing w:line="360" w:lineRule="auto" w:after="40"/>
      </w:pPr>
      <w:r>
        <w:rPr>
          <w:b/>
          <w:shd w:fill="D6E4F0" w:val="clear"/>
        </w:rPr>
        <w:t>C项错误：</w:t>
      </w:r>
    </w:p>
    <w:p>
      <w:pPr>
        <w:spacing w:line="360" w:lineRule="auto" w:after="40"/>
      </w:pPr>
      <w:r>
        <w:t>被提名人服务的教材描述着重于隐藏受益所有人身份和为非法活动提供掩护，而非为设立住所提供便利。选项C虽涉及司法管辖区，但缺乏证据支持这是被提名人便利洗钱的核心方式，其与教材定位的匹配度不如B和D。</w:t>
      </w:r>
    </w:p>
    <w:p>
      <w:pPr>
        <w:spacing w:line="360" w:lineRule="auto" w:after="120"/>
      </w:pPr>
      <w:r/>
    </w:p>
    <w:p>
      <w:pPr>
        <w:spacing w:line="360" w:lineRule="auto" w:after="40"/>
      </w:pPr>
      <w:r>
        <w:t>26. 哪些信托和公司服务提供商(TCSP)的特征可能使其容易受到金融犯罪的侵害？（选择三项。）</w:t>
      </w:r>
    </w:p>
    <w:p>
      <w:pPr>
        <w:spacing w:line="360" w:lineRule="auto" w:after="20"/>
      </w:pPr>
      <w:r>
        <w:t>A.他们可能会专门向罪犯推销自己</w:t>
      </w:r>
    </w:p>
    <w:p>
      <w:pPr>
        <w:spacing w:line="360" w:lineRule="auto" w:after="20"/>
      </w:pPr>
      <w:r>
        <w:t>B.提供代名董事可能会通过隐瞒真实所有权来增加匿名性</w:t>
      </w:r>
    </w:p>
    <w:p>
      <w:pPr>
        <w:spacing w:line="360" w:lineRule="auto" w:after="20"/>
      </w:pPr>
      <w:r>
        <w:t>C.在大多数司法管辖区,他们无需遵守反洗钱法规</w:t>
      </w:r>
    </w:p>
    <w:p>
      <w:pPr>
        <w:spacing w:line="360" w:lineRule="auto" w:after="20"/>
      </w:pPr>
      <w:r>
        <w:t>D.向境外中介机构出售现成的公司</w:t>
      </w:r>
    </w:p>
    <w:p>
      <w:pPr>
        <w:spacing w:line="360" w:lineRule="auto" w:after="20"/>
      </w:pPr>
      <w:r>
        <w:t>E.与客户面对面接触极少,尤其是在离岸安排的情况下</w:t>
      </w:r>
    </w:p>
    <w:p>
      <w:pPr>
        <w:spacing w:line="360" w:lineRule="auto" w:after="40"/>
      </w:pPr>
      <w:r>
        <w:t>答案:B、D、E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 TCSP 业务中导致</w:t>
      </w:r>
      <w:r>
        <w:rPr>
          <w:b/>
        </w:rPr>
        <w:t>匿名性</w:t>
      </w:r>
      <w:r>
        <w:t>和</w:t>
      </w:r>
      <w:r>
        <w:rPr>
          <w:b/>
        </w:rPr>
        <w:t>识别障碍</w:t>
      </w:r>
      <w:r>
        <w:t>的</w:t>
      </w:r>
      <w:r>
        <w:rPr>
          <w:b/>
        </w:rPr>
        <w:t>结构特征</w:t>
      </w:r>
      <w:r>
        <w:t>。</w:t>
      </w:r>
    </w:p>
    <w:p>
      <w:pPr>
        <w:spacing w:line="360" w:lineRule="auto" w:after="40"/>
      </w:pPr>
      <w:r>
        <w:rPr>
          <w:b/>
          <w:shd w:fill="D6E4F0" w:val="clear"/>
        </w:rPr>
        <w:t>核心解析：</w:t>
      </w:r>
    </w:p>
    <w:p>
      <w:pPr>
        <w:spacing w:line="360" w:lineRule="auto" w:after="40"/>
      </w:pPr>
      <w:r>
        <w:t>B项中的</w:t>
      </w:r>
      <w:r>
        <w:rPr>
          <w:b/>
        </w:rPr>
        <w:t>代名董事会</w:t>
      </w:r>
      <w:r>
        <w:t>隐藏UBO身份；D项向境外中介出售现成公司，会叠加</w:t>
      </w:r>
      <w:r>
        <w:rPr>
          <w:b/>
        </w:rPr>
        <w:t>现成公司、离岸结构和跨境中介</w:t>
      </w:r>
      <w:r>
        <w:t>的透明度问题；E项所述与客户面对面接触极少，尤其是在离岸安排下，会降低机构</w:t>
      </w:r>
      <w:r>
        <w:rPr>
          <w:b/>
        </w:rPr>
        <w:t>核实客户和实际控制人</w:t>
      </w:r>
      <w:r>
        <w:t>的能力</w:t>
      </w:r>
      <w:r>
        <w:rPr>
          <w:sz w:val="15"/>
          <w:vertAlign w:val="superscript"/>
        </w:rPr>
        <w:t>P117</w:t>
      </w:r>
      <w:r>
        <w:t>。三项均是业务模式本身的脆弱性。</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教材说明 TCSP 服务可能被犯罪分子利用，但没有把“主动向罪犯推销”列为普遍业务特征。</w:t>
      </w:r>
    </w:p>
    <w:p>
      <w:pPr>
        <w:spacing w:line="360" w:lineRule="auto" w:after="40"/>
      </w:pPr>
      <w:r>
        <w:rPr>
          <w:b/>
          <w:shd w:fill="D6E4F0" w:val="clear"/>
        </w:rPr>
        <w:t>C项错误：</w:t>
      </w:r>
    </w:p>
    <w:p>
      <w:pPr>
        <w:spacing w:line="360" w:lineRule="auto" w:after="40"/>
      </w:pPr>
      <w:r>
        <w:t>“大多数司法管辖区无需遵守 AML 法规”过于绝对；监管状态不能概括所有司法管辖区。</w:t>
      </w:r>
    </w:p>
    <w:p>
      <w:pPr>
        <w:spacing w:line="360" w:lineRule="auto" w:after="40"/>
      </w:pPr>
      <w:r>
        <w:rPr>
          <w:b/>
          <w:shd w:fill="D6E4F0" w:val="clear"/>
        </w:rPr>
        <w:t>易错提醒：</w:t>
      </w:r>
    </w:p>
    <w:p>
      <w:pPr>
        <w:spacing w:line="360" w:lineRule="auto" w:after="40"/>
      </w:pPr>
      <w:r>
        <w:t>TCSP风险来自代名服务、现成公司、离岸和非面对面交付造成的透明度下降</w:t>
      </w:r>
      <w:r>
        <w:rPr>
          <w:sz w:val="15"/>
          <w:vertAlign w:val="superscript"/>
        </w:rPr>
        <w:t>P117</w:t>
      </w:r>
      <w:r>
        <w:t>，不应把某一司法管辖区的监管缺口扩大为普遍规则。</w:t>
      </w:r>
    </w:p>
    <w:p>
      <w:pPr>
        <w:spacing w:line="360" w:lineRule="auto" w:after="120"/>
      </w:pPr>
      <w:r/>
    </w:p>
    <w:p>
      <w:pPr>
        <w:spacing w:line="360" w:lineRule="auto" w:after="40"/>
      </w:pPr>
      <w:r>
        <w:t>27. 从金融犯罪的角度来看,会计事务所提供的哪些服务可能被视为风险较高的服务？（选择三项。）</w:t>
      </w:r>
    </w:p>
    <w:p>
      <w:pPr>
        <w:spacing w:line="360" w:lineRule="auto" w:after="20"/>
      </w:pPr>
      <w:r>
        <w:t>A.代表客户设立结构复杂的信托并担任委托董事</w:t>
      </w:r>
    </w:p>
    <w:p>
      <w:pPr>
        <w:spacing w:line="360" w:lineRule="auto" w:after="20"/>
      </w:pPr>
      <w:r>
        <w:t>B.对一家为大型企业客户提供薪资软件的公司进行审计</w:t>
      </w:r>
    </w:p>
    <w:p>
      <w:pPr>
        <w:spacing w:line="360" w:lineRule="auto" w:after="20"/>
      </w:pPr>
      <w:r>
        <w:t>C.为上市公司或私营企业编制财务报表</w:t>
      </w:r>
    </w:p>
    <w:p>
      <w:pPr>
        <w:spacing w:line="360" w:lineRule="auto" w:after="20"/>
      </w:pPr>
      <w:r>
        <w:t>D.为希望将资产转移出本国的国际客户提供税务建议</w:t>
      </w:r>
    </w:p>
    <w:p>
      <w:pPr>
        <w:spacing w:line="360" w:lineRule="auto" w:after="20"/>
      </w:pPr>
      <w:r>
        <w:t>E.协助一家来自无受益所有人信息可查的司法管辖区的离岸公司购买英国房产</w:t>
      </w:r>
    </w:p>
    <w:p>
      <w:pPr>
        <w:spacing w:line="360" w:lineRule="auto" w:after="40"/>
      </w:pPr>
      <w:r>
        <w:t>答案:A、D、E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识别会计师高风险服务中的逃税、离岸结合房产及公司服务风险信号</w:t>
      </w:r>
    </w:p>
    <w:p>
      <w:pPr>
        <w:spacing w:line="360" w:lineRule="auto" w:after="40"/>
      </w:pPr>
      <w:r>
        <w:rPr>
          <w:b/>
          <w:shd w:fill="D6E4F0" w:val="clear"/>
        </w:rPr>
        <w:t>核心解析：</w:t>
      </w:r>
    </w:p>
    <w:p>
      <w:pPr>
        <w:spacing w:line="360" w:lineRule="auto" w:after="40"/>
      </w:pPr>
      <w:r>
        <w:t>会计师因深度接触客户敏感财务信息，其提供的特定服务可能无意中协助洗钱或逃税</w:t>
      </w:r>
      <w:r>
        <w:rPr>
          <w:sz w:val="15"/>
          <w:vertAlign w:val="superscript"/>
        </w:rPr>
        <w:t>P123</w:t>
      </w:r>
      <w:r>
        <w:t>。本题考核哪些专项服务直接匹配教材定义的高风险特征。选项A“设立结构复杂的信托并担任名义董事”，教材将</w:t>
      </w:r>
      <w:r>
        <w:rPr>
          <w:b/>
        </w:rPr>
        <w:t>名义服务（nominee services）</w:t>
      </w:r>
      <w:r>
        <w:t>定义为通过第三方代持董事或股东角色来运营公司，这会产生匿名层，使</w:t>
      </w:r>
      <w:r>
        <w:rPr>
          <w:b/>
        </w:rPr>
        <w:t>最终受益所有人（UBO）身份被隐藏</w:t>
      </w:r>
      <w:r>
        <w:rPr>
          <w:sz w:val="15"/>
          <w:vertAlign w:val="superscript"/>
        </w:rPr>
        <w:t>P127</w:t>
      </w:r>
      <w:r>
        <w:t>，金融犯罪风险显著升高。选项D“为希望将资产转移出本国的国际客户提供税务建议”，教材指出会计师面临的一大风险是</w:t>
      </w:r>
      <w:r>
        <w:rPr>
          <w:b/>
        </w:rPr>
        <w:t>无意中支持逃税</w:t>
      </w:r>
      <w:r>
        <w:t>（inadvertently supporting tax evasion），且其后的交易可能成为洗钱通道</w:t>
      </w:r>
      <w:r>
        <w:rPr>
          <w:sz w:val="15"/>
          <w:vertAlign w:val="superscript"/>
        </w:rPr>
        <w:t>P123</w:t>
      </w:r>
      <w:r>
        <w:t>，协助转移资产出境的税务筹划极易落入这一陷阱。选项E“协助无UBO信息可查的离岸公司购买英国房产”，教材例证：位于税务保密、UBO登记松懈的高风险司法管辖区（如英属维尔京群岛）的离岸公司属高风险</w:t>
      </w:r>
      <w:r>
        <w:rPr>
          <w:sz w:val="15"/>
          <w:vertAlign w:val="superscript"/>
        </w:rPr>
        <w:t>P129</w:t>
      </w:r>
      <w:r>
        <w:t>，且来自高风险或透明度低地区的买家是房地产洗钱风险信号</w:t>
      </w:r>
      <w:r>
        <w:rPr>
          <w:sz w:val="15"/>
          <w:vertAlign w:val="superscript"/>
        </w:rPr>
        <w:t>P122</w:t>
      </w:r>
      <w:r>
        <w:t>。三项服务分别指向教材中信托名义结构、逃税通道、离岸结合房产这三条高风险线索，直接成立。</w:t>
      </w:r>
    </w:p>
    <w:p>
      <w:pPr>
        <w:spacing w:line="360" w:lineRule="auto" w:after="40"/>
      </w:pPr>
      <w:r>
        <w:rPr>
          <w:b/>
          <w:shd w:fill="D6E4F0" w:val="clear"/>
        </w:rPr>
        <w:t>教材原句：</w:t>
      </w:r>
    </w:p>
    <w:p>
      <w:pPr>
        <w:spacing w:line="360" w:lineRule="auto" w:after="40"/>
      </w:pPr>
      <w:r>
        <w:t>"One consequential risk for accountants is inadvertently supporting tax evasion, with subsequent transactions potentially serving as a conduit for money laundering."</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审计一家为大型企业提供薪资软件的公司属于常规服务，题干未显示该被审计对象或业务本身有任何高风险信号，相比教材明确列出的逃税、名义结构、离岸房产等高风险场景，匹配度明显不足。</w:t>
      </w:r>
    </w:p>
    <w:p>
      <w:pPr>
        <w:spacing w:line="360" w:lineRule="auto" w:after="40"/>
      </w:pPr>
      <w:r>
        <w:rPr>
          <w:b/>
          <w:shd w:fill="D6E4F0" w:val="clear"/>
        </w:rPr>
        <w:t>C项错误：</w:t>
      </w:r>
    </w:p>
    <w:p>
      <w:pPr>
        <w:spacing w:line="360" w:lineRule="auto" w:after="40"/>
      </w:pPr>
      <w:r>
        <w:t>编制财务报表是会计师的基础业务，题干没有附加任何异常结构或跨国避税动机，相较于直接服务于资产隐匿或非法税务筹划的A、D项，教材并不将常规报表编制单独标记为高风险。</w:t>
      </w:r>
    </w:p>
    <w:p>
      <w:pPr>
        <w:spacing w:line="360" w:lineRule="auto" w:after="40"/>
      </w:pPr>
      <w:r>
        <w:rPr>
          <w:b/>
          <w:shd w:fill="D6E4F0" w:val="clear"/>
        </w:rPr>
        <w:t>易错提醒：</w:t>
      </w:r>
    </w:p>
    <w:p>
      <w:pPr>
        <w:spacing w:line="360" w:lineRule="auto" w:after="40"/>
      </w:pPr>
      <w:r>
        <w:t>信托本身是合法规划工具，但若叠加“名义董事”（nominee director）与“结构复杂”要素，则成为隐藏UBO的高风险信号</w:t>
      </w:r>
      <w:r>
        <w:rPr>
          <w:sz w:val="15"/>
          <w:vertAlign w:val="superscript"/>
        </w:rPr>
        <w:t>P127</w:t>
      </w:r>
      <w:r>
        <w:t>。核心区分点在于是否刻意构建匿名层，而非信托是否存在。</w:t>
      </w:r>
    </w:p>
    <w:p>
      <w:pPr>
        <w:spacing w:line="360" w:lineRule="auto" w:after="120"/>
      </w:pPr>
      <w:r/>
    </w:p>
    <w:p>
      <w:pPr>
        <w:spacing w:line="360" w:lineRule="auto" w:after="40"/>
      </w:pPr>
      <w:r>
        <w:t>28. 在获取客户数据时,以下哪些可能是与金融犯罪相关的危险信号？（选择三项。）</w:t>
      </w:r>
    </w:p>
    <w:p>
      <w:pPr>
        <w:spacing w:line="360" w:lineRule="auto" w:after="20"/>
      </w:pPr>
      <w:r>
        <w:t>A.一位客户经常比要求时间早很多提交财务报表，显得过于急切</w:t>
      </w:r>
    </w:p>
    <w:p>
      <w:pPr>
        <w:spacing w:line="360" w:lineRule="auto" w:after="20"/>
      </w:pPr>
      <w:r>
        <w:t>B.客户坚持使用个人银行账户进行商业交易，尽管已被告知不应如此</w:t>
      </w:r>
    </w:p>
    <w:p>
      <w:pPr>
        <w:spacing w:line="360" w:lineRule="auto" w:after="20"/>
      </w:pPr>
      <w:r>
        <w:t>C.新客户倾向于尽量减少直接交流，主要依赖间接沟通方式，称其更方便或因时间限制所致</w:t>
      </w:r>
    </w:p>
    <w:p>
      <w:pPr>
        <w:spacing w:line="360" w:lineRule="auto" w:after="20"/>
      </w:pPr>
      <w:r>
        <w:t>D.该客户是一家上市公司，且业务非常多元化</w:t>
      </w:r>
    </w:p>
    <w:p>
      <w:pPr>
        <w:spacing w:line="360" w:lineRule="auto" w:after="20"/>
      </w:pPr>
      <w:r>
        <w:t>E.最终受益所有权不明确</w:t>
      </w:r>
    </w:p>
    <w:p>
      <w:pPr>
        <w:spacing w:line="360" w:lineRule="auto" w:after="40"/>
      </w:pPr>
      <w:r>
        <w:t>答案:B、C、E</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识别客户数据收集阶段的</w:t>
      </w:r>
      <w:r>
        <w:rPr>
          <w:b/>
        </w:rPr>
        <w:t>账户用途</w:t>
      </w:r>
      <w:r>
        <w:t>、</w:t>
      </w:r>
      <w:r>
        <w:rPr>
          <w:b/>
        </w:rPr>
        <w:t>沟通方式</w:t>
      </w:r>
      <w:r>
        <w:t xml:space="preserve">和 </w:t>
      </w:r>
      <w:r>
        <w:rPr>
          <w:b/>
        </w:rPr>
        <w:t>UBO 红旗</w:t>
      </w:r>
      <w:r>
        <w:t>。</w:t>
      </w:r>
    </w:p>
    <w:p>
      <w:pPr>
        <w:spacing w:line="360" w:lineRule="auto" w:after="40"/>
      </w:pPr>
      <w:r>
        <w:rPr>
          <w:b/>
          <w:shd w:fill="D6E4F0" w:val="clear"/>
        </w:rPr>
        <w:t>核心解析：</w:t>
      </w:r>
    </w:p>
    <w:p>
      <w:pPr>
        <w:spacing w:line="360" w:lineRule="auto" w:after="40"/>
      </w:pPr>
      <w:r>
        <w:t>B项中，客户坚持用个人账户处理商业交易，说明</w:t>
      </w:r>
      <w:r>
        <w:rPr>
          <w:b/>
        </w:rPr>
        <w:t>账户用途与实际业务不一致</w:t>
      </w:r>
      <w:r>
        <w:t>；C项中，新客户尽量减少直接交流、依赖间接沟通，可能反映</w:t>
      </w:r>
      <w:r>
        <w:rPr>
          <w:b/>
        </w:rPr>
        <w:t>隐藏身份或地点</w:t>
      </w:r>
      <w:r>
        <w:t>的意图；E项所述</w:t>
      </w:r>
      <w:r>
        <w:rPr>
          <w:b/>
        </w:rPr>
        <w:t>最终受益所有权不明确</w:t>
      </w:r>
      <w:r>
        <w:t>，则直接对应复杂或不透明的所有权结构</w:t>
      </w:r>
      <w:r>
        <w:rPr>
          <w:sz w:val="15"/>
          <w:vertAlign w:val="superscript"/>
        </w:rPr>
        <w:t>P99</w:t>
      </w:r>
      <w:r>
        <w:t>。A项只表现为提前提交财务报表，在没有其他异常背景时可以由工作习惯或办事效率解释；D项所述上市和业务多元化本身也不构成红旗。</w:t>
      </w:r>
    </w:p>
    <w:p>
      <w:pPr>
        <w:spacing w:line="360" w:lineRule="auto" w:after="40"/>
      </w:pPr>
      <w:r>
        <w:rPr>
          <w:b/>
          <w:shd w:fill="D6E4F0" w:val="clear"/>
        </w:rPr>
        <w:t>错误项分析：</w:t>
      </w:r>
    </w:p>
    <w:p>
      <w:pPr>
        <w:spacing w:line="360" w:lineRule="auto" w:after="40"/>
      </w:pPr>
      <w:r>
        <w:rPr>
          <w:b/>
          <w:shd w:fill="D6E4F0" w:val="clear"/>
        </w:rPr>
        <w:t>A项错误：</w:t>
      </w:r>
    </w:p>
    <w:p>
      <w:pPr>
        <w:spacing w:line="360" w:lineRule="auto" w:after="40"/>
      </w:pPr>
      <w:r>
        <w:t>提前提交文件可能是工作习惯或效率行为，题干没有其他异常事实支持金融犯罪推断。</w:t>
      </w:r>
    </w:p>
    <w:p>
      <w:pPr>
        <w:spacing w:line="360" w:lineRule="auto" w:after="40"/>
      </w:pPr>
      <w:r>
        <w:rPr>
          <w:b/>
          <w:shd w:fill="D6E4F0" w:val="clear"/>
        </w:rPr>
        <w:t>D项错误：</w:t>
      </w:r>
    </w:p>
    <w:p>
      <w:pPr>
        <w:spacing w:line="360" w:lineRule="auto" w:after="40"/>
      </w:pPr>
      <w:r>
        <w:t>上市和业务多元化只有在叠加高风险行业、复杂结构或异常交易时才需强化关注。</w:t>
      </w:r>
    </w:p>
    <w:p>
      <w:pPr>
        <w:spacing w:line="360" w:lineRule="auto" w:after="40"/>
      </w:pPr>
      <w:r>
        <w:rPr>
          <w:b/>
          <w:shd w:fill="D6E4F0" w:val="clear"/>
        </w:rPr>
        <w:t>易错提醒：</w:t>
      </w:r>
    </w:p>
    <w:p>
      <w:pPr>
        <w:spacing w:line="360" w:lineRule="auto" w:after="40"/>
      </w:pPr>
      <w:r>
        <w:t>不要把“看起来反常”直接等同于红旗；应重点判断行为是否反映账户用途错配、身份隐藏或最终受益所有权不透明</w:t>
      </w:r>
      <w:r>
        <w:rPr>
          <w:sz w:val="15"/>
          <w:vertAlign w:val="superscript"/>
        </w:rPr>
        <w:t>P99</w:t>
      </w:r>
      <w:r>
        <w:t>。</w:t>
      </w:r>
    </w:p>
    <w:p>
      <w:pPr>
        <w:spacing w:line="360" w:lineRule="auto" w:after="120"/>
      </w:pPr>
      <w:r/>
    </w:p>
    <w:p>
      <w:pPr>
        <w:spacing w:line="360" w:lineRule="auto" w:after="40"/>
      </w:pPr>
      <w:r>
        <w:t>29. 房地产行业固有的哪些风险具有最高的反洗钱/反恐怖融资风险？（选择两项。）</w:t>
      </w:r>
    </w:p>
    <w:p>
      <w:pPr>
        <w:spacing w:line="360" w:lineRule="auto" w:after="20"/>
      </w:pPr>
      <w:r>
        <w:t>A.用现金购买房产</w:t>
      </w:r>
    </w:p>
    <w:p>
      <w:pPr>
        <w:spacing w:line="360" w:lineRule="auto" w:after="20"/>
      </w:pPr>
      <w:r>
        <w:t>B.无照房产中介充当幌子公司</w:t>
      </w:r>
    </w:p>
    <w:p>
      <w:pPr>
        <w:spacing w:line="360" w:lineRule="auto" w:after="20"/>
      </w:pPr>
      <w:r>
        <w:t>C.利用注册信托购买房产</w:t>
      </w:r>
    </w:p>
    <w:p>
      <w:pPr>
        <w:spacing w:line="360" w:lineRule="auto" w:after="20"/>
      </w:pPr>
      <w:r>
        <w:t>D.利用公司购买房产</w:t>
      </w:r>
    </w:p>
    <w:p>
      <w:pPr>
        <w:spacing w:line="360" w:lineRule="auto" w:after="20"/>
      </w:pPr>
      <w:r>
        <w:t>E.对财产价值的操纵</w:t>
      </w:r>
    </w:p>
    <w:p>
      <w:pPr>
        <w:spacing w:line="360" w:lineRule="auto" w:after="40"/>
      </w:pPr>
      <w:r>
        <w:t>答案:A、D</w:t>
      </w:r>
    </w:p>
    <w:p>
      <w:pPr>
        <w:spacing w:line="360" w:lineRule="auto" w:after="40"/>
      </w:pPr>
      <w:r>
        <w:rPr>
          <w:b/>
          <w:shd w:fill="D6E4F0" w:val="clear"/>
        </w:rPr>
        <w:t>解析:</w:t>
      </w:r>
    </w:p>
    <w:p>
      <w:pPr>
        <w:spacing w:line="360" w:lineRule="auto" w:after="40"/>
      </w:pPr>
      <w:r>
        <w:rPr>
          <w:b/>
          <w:shd w:fill="D6E4F0" w:val="clear"/>
        </w:rPr>
        <w:t>考点：</w:t>
      </w:r>
    </w:p>
    <w:p>
      <w:pPr>
        <w:spacing w:line="360" w:lineRule="auto" w:after="40"/>
      </w:pPr>
      <w:r>
        <w:t>识别房地产行业固有的现金和公司载体风险。</w:t>
      </w:r>
    </w:p>
    <w:p>
      <w:pPr>
        <w:spacing w:line="360" w:lineRule="auto" w:after="40"/>
      </w:pPr>
      <w:r>
        <w:rPr>
          <w:b/>
          <w:shd w:fill="D6E4F0" w:val="clear"/>
        </w:rPr>
        <w:t>核心解析：</w:t>
      </w:r>
    </w:p>
    <w:p>
      <w:pPr>
        <w:spacing w:line="360" w:lineRule="auto" w:after="40"/>
      </w:pPr>
      <w:r>
        <w:t>房地产交易金额高、资产可转让且</w:t>
      </w:r>
      <w:r>
        <w:rPr>
          <w:b/>
        </w:rPr>
        <w:t>所有权结构容易被遮蔽</w:t>
      </w:r>
      <w:r>
        <w:rPr>
          <w:sz w:val="15"/>
          <w:vertAlign w:val="superscript"/>
        </w:rPr>
        <w:t>P121-P122</w:t>
      </w:r>
      <w:r>
        <w:t>。A项现金购房难以追踪，教材明确将</w:t>
      </w:r>
      <w:r>
        <w:rPr>
          <w:b/>
        </w:rPr>
        <w:t>全部或主要现金付款</w:t>
      </w:r>
      <w:r>
        <w:t>列为房地产洗钱红旗；D项利用公司购买房产，可借助法人载体隐藏</w:t>
      </w:r>
      <w:r>
        <w:rPr>
          <w:b/>
        </w:rPr>
        <w:t>实际控制人和资金来源</w:t>
      </w:r>
      <w:r>
        <w:t>，房地产章节将公司、信托或名义人购买且无合理解释列为红旗</w:t>
      </w:r>
      <w:r>
        <w:rPr>
          <w:sz w:val="15"/>
          <w:vertAlign w:val="superscript"/>
        </w:rPr>
        <w:t>P121-P122</w:t>
      </w:r>
      <w:r>
        <w:t>。E项价值操纵也属于相关风险，但题干要求选择风险最高的两项；现金交易和公司载体更直接对应教材强调的</w:t>
      </w:r>
      <w:r>
        <w:rPr>
          <w:b/>
        </w:rPr>
        <w:t>资金不可追溯与所有权遮蔽</w:t>
      </w:r>
      <w:r>
        <w:t>。</w:t>
      </w:r>
    </w:p>
    <w:p>
      <w:pPr>
        <w:spacing w:line="360" w:lineRule="auto" w:after="40"/>
      </w:pPr>
      <w:r>
        <w:rPr>
          <w:b/>
          <w:shd w:fill="D6E4F0" w:val="clear"/>
        </w:rPr>
        <w:t>错误项分析：</w:t>
      </w:r>
    </w:p>
    <w:p>
      <w:pPr>
        <w:spacing w:line="360" w:lineRule="auto" w:after="40"/>
      </w:pPr>
      <w:r>
        <w:rPr>
          <w:b/>
          <w:shd w:fill="D6E4F0" w:val="clear"/>
        </w:rPr>
        <w:t>B项错误：</w:t>
      </w:r>
    </w:p>
    <w:p>
      <w:pPr>
        <w:spacing w:line="360" w:lineRule="auto" w:after="40"/>
      </w:pPr>
      <w:r>
        <w:t>无照和幌子公司是两个不同概念，题干未给出足以构成幌子公司的事实。</w:t>
      </w:r>
    </w:p>
    <w:p>
      <w:pPr>
        <w:spacing w:line="360" w:lineRule="auto" w:after="40"/>
      </w:pPr>
      <w:r>
        <w:rPr>
          <w:b/>
          <w:shd w:fill="D6E4F0" w:val="clear"/>
        </w:rPr>
        <w:t>C项错误：</w:t>
      </w:r>
    </w:p>
    <w:p>
      <w:pPr>
        <w:spacing w:line="360" w:lineRule="auto" w:after="40"/>
      </w:pPr>
      <w:r>
        <w:t>注册信托本身可能是合法安排，通常还需无合理解释或复杂结构等附加事实。</w:t>
      </w:r>
    </w:p>
    <w:p>
      <w:pPr>
        <w:spacing w:line="360" w:lineRule="auto" w:after="40"/>
      </w:pPr>
      <w:r>
        <w:rPr>
          <w:b/>
          <w:shd w:fill="D6E4F0" w:val="clear"/>
        </w:rPr>
        <w:t>E项错误：</w:t>
      </w:r>
    </w:p>
    <w:p>
      <w:pPr>
        <w:spacing w:line="360" w:lineRule="auto" w:after="40"/>
      </w:pPr>
      <w:r>
        <w:t>价值操纵确属相关风险，但题干要求选择风险最高的两项；现金交易和公司载体更直接对应教材强调的资金不可追溯与所有权遮蔽。</w:t>
      </w:r>
    </w:p>
    <w:p>
      <w:pPr>
        <w:spacing w:line="360" w:lineRule="auto" w:after="40"/>
      </w:pPr>
      <w:r>
        <w:rPr>
          <w:b/>
          <w:shd w:fill="D6E4F0" w:val="clear"/>
        </w:rPr>
        <w:t>易错提醒：</w:t>
      </w:r>
    </w:p>
    <w:p>
      <w:pPr>
        <w:spacing w:line="360" w:lineRule="auto" w:after="40"/>
      </w:pPr>
      <w:r>
        <w:t>不要把“所有可能的房地产红旗”都选入；本题要求最高固有风险，先抓现金和法人载体两条主线</w:t>
      </w:r>
      <w:r>
        <w:rPr>
          <w:sz w:val="15"/>
          <w:vertAlign w:val="superscript"/>
        </w:rPr>
        <w:t>P121-P122</w:t>
      </w:r>
      <w:r>
        <w:t>。</w:t>
      </w:r>
    </w:p>
    <w:sectPr w:rsidR="00797F96" w:rsidSect="007705B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130425" w14:textId="77777777" w:rsidR="00D502DB" w:rsidRDefault="00D502DB" w:rsidP="004B1ED1">
      <w:r>
        <w:separator/>
      </w:r>
    </w:p>
  </w:endnote>
  <w:endnote w:type="continuationSeparator" w:id="0">
    <w:p w14:paraId="6CC9F455" w14:textId="77777777" w:rsidR="00D502DB" w:rsidRDefault="00D502DB" w:rsidP="004B1E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92F4B" w14:textId="77777777" w:rsidR="00D502DB" w:rsidRDefault="00D502DB" w:rsidP="004B1ED1">
      <w:r>
        <w:separator/>
      </w:r>
    </w:p>
  </w:footnote>
  <w:footnote w:type="continuationSeparator" w:id="0">
    <w:p w14:paraId="68C42F1C" w14:textId="77777777" w:rsidR="00D502DB" w:rsidRDefault="00D502DB" w:rsidP="004B1ED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defaultTabStop w:val="420"/>
  <w:drawingGridVerticalSpacing w:val="20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44CB"/>
    <w:rsid w:val="00010147"/>
    <w:rsid w:val="00033C1A"/>
    <w:rsid w:val="00040102"/>
    <w:rsid w:val="000D33A7"/>
    <w:rsid w:val="000F230C"/>
    <w:rsid w:val="000F78D0"/>
    <w:rsid w:val="00131228"/>
    <w:rsid w:val="001462D8"/>
    <w:rsid w:val="0015668A"/>
    <w:rsid w:val="00177DC7"/>
    <w:rsid w:val="001A7D92"/>
    <w:rsid w:val="002077A3"/>
    <w:rsid w:val="00220F69"/>
    <w:rsid w:val="002B050E"/>
    <w:rsid w:val="0033201A"/>
    <w:rsid w:val="0033318A"/>
    <w:rsid w:val="003607DA"/>
    <w:rsid w:val="00367F68"/>
    <w:rsid w:val="00435F1E"/>
    <w:rsid w:val="00474E2F"/>
    <w:rsid w:val="00483F5C"/>
    <w:rsid w:val="004962E1"/>
    <w:rsid w:val="004A749E"/>
    <w:rsid w:val="004B1ED1"/>
    <w:rsid w:val="00526572"/>
    <w:rsid w:val="00573E0A"/>
    <w:rsid w:val="005A2A6F"/>
    <w:rsid w:val="005A7BEF"/>
    <w:rsid w:val="005D7D77"/>
    <w:rsid w:val="00607874"/>
    <w:rsid w:val="00646B58"/>
    <w:rsid w:val="0072289C"/>
    <w:rsid w:val="00745570"/>
    <w:rsid w:val="00753BC4"/>
    <w:rsid w:val="007705BD"/>
    <w:rsid w:val="00797F96"/>
    <w:rsid w:val="007D7360"/>
    <w:rsid w:val="007E7BE2"/>
    <w:rsid w:val="007F09BD"/>
    <w:rsid w:val="00837539"/>
    <w:rsid w:val="008644CB"/>
    <w:rsid w:val="008C76EC"/>
    <w:rsid w:val="008D6C8E"/>
    <w:rsid w:val="009E4018"/>
    <w:rsid w:val="00A13FA3"/>
    <w:rsid w:val="00A167EC"/>
    <w:rsid w:val="00A215D8"/>
    <w:rsid w:val="00B12FCC"/>
    <w:rsid w:val="00BF7B5A"/>
    <w:rsid w:val="00C67B09"/>
    <w:rsid w:val="00CA03E7"/>
    <w:rsid w:val="00CA0B43"/>
    <w:rsid w:val="00CC049E"/>
    <w:rsid w:val="00D502DB"/>
    <w:rsid w:val="00D935DD"/>
    <w:rsid w:val="00DA5DA4"/>
    <w:rsid w:val="00E13904"/>
    <w:rsid w:val="00E176BA"/>
    <w:rsid w:val="00E26F44"/>
    <w:rsid w:val="00E429AB"/>
    <w:rsid w:val="00E63479"/>
    <w:rsid w:val="00EC4A51"/>
    <w:rsid w:val="00EE0B23"/>
    <w:rsid w:val="00F52D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ED38201"/>
  <w14:defaultImageDpi w14:val="330"/>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Revision"/>
    <w:hidden/>
    <w:uiPriority w:val="99"/>
    <w:semiHidden/>
    <w:rsid w:val="008644CB"/>
  </w:style>
  <w:style w:type="character" w:styleId="a4">
    <w:name w:val="annotation reference"/>
    <w:basedOn w:val="a0"/>
    <w:uiPriority w:val="99"/>
    <w:semiHidden/>
    <w:unhideWhenUsed/>
    <w:rsid w:val="00CA0B43"/>
    <w:rPr>
      <w:sz w:val="21"/>
      <w:szCs w:val="21"/>
    </w:rPr>
  </w:style>
  <w:style w:type="paragraph" w:styleId="a5">
    <w:name w:val="annotation text"/>
    <w:basedOn w:val="a"/>
    <w:link w:val="a6"/>
    <w:uiPriority w:val="99"/>
    <w:semiHidden/>
    <w:unhideWhenUsed/>
    <w:rsid w:val="00CA0B43"/>
    <w:pPr>
      <w:jc w:val="left"/>
    </w:pPr>
  </w:style>
  <w:style w:type="character" w:customStyle="1" w:styleId="a6">
    <w:name w:val="批注文字 字符"/>
    <w:basedOn w:val="a0"/>
    <w:link w:val="a5"/>
    <w:uiPriority w:val="99"/>
    <w:semiHidden/>
    <w:rsid w:val="00CA0B43"/>
  </w:style>
  <w:style w:type="paragraph" w:styleId="a7">
    <w:name w:val="annotation subject"/>
    <w:basedOn w:val="a5"/>
    <w:next w:val="a5"/>
    <w:link w:val="a8"/>
    <w:uiPriority w:val="99"/>
    <w:semiHidden/>
    <w:unhideWhenUsed/>
    <w:rsid w:val="00CA0B43"/>
    <w:rPr>
      <w:b/>
      <w:bCs/>
    </w:rPr>
  </w:style>
  <w:style w:type="character" w:customStyle="1" w:styleId="a8">
    <w:name w:val="批注主题 字符"/>
    <w:basedOn w:val="a6"/>
    <w:link w:val="a7"/>
    <w:uiPriority w:val="99"/>
    <w:semiHidden/>
    <w:rsid w:val="00CA0B43"/>
    <w:rPr>
      <w:b/>
      <w:bCs/>
    </w:rPr>
  </w:style>
  <w:style w:type="paragraph" w:styleId="a9">
    <w:name w:val="Balloon Text"/>
    <w:basedOn w:val="a"/>
    <w:link w:val="aa"/>
    <w:uiPriority w:val="99"/>
    <w:semiHidden/>
    <w:unhideWhenUsed/>
    <w:rsid w:val="00CA0B43"/>
    <w:rPr>
      <w:rFonts w:ascii="宋体" w:eastAsia="宋体"/>
      <w:sz w:val="18"/>
      <w:szCs w:val="18"/>
    </w:rPr>
  </w:style>
  <w:style w:type="character" w:customStyle="1" w:styleId="aa">
    <w:name w:val="批注框文本 字符"/>
    <w:basedOn w:val="a0"/>
    <w:link w:val="a9"/>
    <w:uiPriority w:val="99"/>
    <w:semiHidden/>
    <w:rsid w:val="00CA0B43"/>
    <w:rPr>
      <w:rFonts w:ascii="宋体" w:eastAsia="宋体"/>
      <w:sz w:val="18"/>
      <w:szCs w:val="18"/>
    </w:rPr>
  </w:style>
  <w:style w:type="paragraph" w:styleId="ab">
    <w:name w:val="Document Map"/>
    <w:basedOn w:val="a"/>
    <w:link w:val="ac"/>
    <w:uiPriority w:val="99"/>
    <w:semiHidden/>
    <w:unhideWhenUsed/>
    <w:rsid w:val="00797F96"/>
    <w:rPr>
      <w:rFonts w:ascii="宋体" w:eastAsia="宋体"/>
    </w:rPr>
  </w:style>
  <w:style w:type="character" w:customStyle="1" w:styleId="ac">
    <w:name w:val="文档结构图 字符"/>
    <w:basedOn w:val="a0"/>
    <w:link w:val="ab"/>
    <w:uiPriority w:val="99"/>
    <w:semiHidden/>
    <w:rsid w:val="00797F96"/>
    <w:rPr>
      <w:rFonts w:ascii="宋体" w:eastAsia="宋体"/>
    </w:rPr>
  </w:style>
  <w:style w:type="table" w:styleId="ad">
    <w:name w:val="Table Grid"/>
    <w:basedOn w:val="a1"/>
    <w:uiPriority w:val="39"/>
    <w:rsid w:val="00797F9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
    <w:link w:val="af"/>
    <w:uiPriority w:val="99"/>
    <w:unhideWhenUsed/>
    <w:rsid w:val="004B1ED1"/>
    <w:pPr>
      <w:pBdr>
        <w:bottom w:val="single" w:sz="6" w:space="1" w:color="auto"/>
      </w:pBdr>
      <w:tabs>
        <w:tab w:val="center" w:pos="4153"/>
        <w:tab w:val="right" w:pos="8306"/>
      </w:tabs>
      <w:snapToGrid w:val="0"/>
      <w:jc w:val="center"/>
    </w:pPr>
    <w:rPr>
      <w:sz w:val="18"/>
      <w:szCs w:val="18"/>
    </w:rPr>
  </w:style>
  <w:style w:type="character" w:customStyle="1" w:styleId="af">
    <w:name w:val="页眉 字符"/>
    <w:basedOn w:val="a0"/>
    <w:link w:val="ae"/>
    <w:uiPriority w:val="99"/>
    <w:rsid w:val="004B1ED1"/>
    <w:rPr>
      <w:sz w:val="18"/>
      <w:szCs w:val="18"/>
    </w:rPr>
  </w:style>
  <w:style w:type="paragraph" w:styleId="af0">
    <w:name w:val="footer"/>
    <w:basedOn w:val="a"/>
    <w:link w:val="af1"/>
    <w:uiPriority w:val="99"/>
    <w:unhideWhenUsed/>
    <w:rsid w:val="004B1ED1"/>
    <w:pPr>
      <w:tabs>
        <w:tab w:val="center" w:pos="4153"/>
        <w:tab w:val="right" w:pos="8306"/>
      </w:tabs>
      <w:snapToGrid w:val="0"/>
      <w:jc w:val="left"/>
    </w:pPr>
    <w:rPr>
      <w:sz w:val="18"/>
      <w:szCs w:val="18"/>
    </w:rPr>
  </w:style>
  <w:style w:type="character" w:customStyle="1" w:styleId="af1">
    <w:name w:val="页脚 字符"/>
    <w:basedOn w:val="a0"/>
    <w:link w:val="af0"/>
    <w:uiPriority w:val="99"/>
    <w:rsid w:val="004B1ED1"/>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办公室">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办公室">
      <a:majorFont>
        <a:latin typeface="DengXian Light" panose="020F0302020204030204"/>
        <a:ea typeface=""/>
        <a:cs typeface=""/>
        <a:font script="Jpan" typeface="ＭＳ ゴシック"/>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F0502020204030204"/>
        <a:ea typeface=""/>
        <a:cs typeface=""/>
        <a:font script="Jpan" typeface="ＭＳ 明朝"/>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办公室">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320</Words>
  <Characters>1827</Characters>
  <Application>Microsoft Office Word</Application>
  <DocSecurity>0</DocSecurity>
  <Lines>15</Lines>
  <Paragraphs>4</Paragraphs>
  <ScaleCrop>false</ScaleCrop>
  <Company/>
  <LinksUpToDate>false</LinksUpToDate>
  <CharactersWithSpaces>2143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love980</dc:creator>
  <cp:keywords/>
  <dc:description/>
  <cp:lastModifiedBy>8613849083012</cp:lastModifiedBy>
  <cp:revision>54</cp:revision>
  <dcterms:created xsi:type="dcterms:W3CDTF">2017-05-14T09:31:00Z</dcterms:created>
  <dcterms:modified xsi:type="dcterms:W3CDTF">2021-12-30T09:44:00Z</dcterms:modified>
</cp:coreProperties>
</file>