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CH04</w:t>
      </w:r>
    </w:p>
    <w:p>
      <w:pPr>
        <w:spacing w:line="360" w:lineRule="auto" w:after="160"/>
      </w:pPr>
      <w:r>
        <w:t>一、单项选择题</w:t>
      </w:r>
    </w:p>
    <w:p>
      <w:pPr>
        <w:spacing w:line="360" w:lineRule="auto" w:after="40"/>
      </w:pPr>
      <w:r>
        <w:t>1. 哪种运营情况可能表明洗钱活动正在一家吸收存款的金融机构内部发生或通过该机构进行？</w:t>
      </w:r>
    </w:p>
    <w:p>
      <w:pPr>
        <w:spacing w:line="360" w:lineRule="auto" w:after="20"/>
      </w:pPr>
      <w:r>
        <w:t>A.该机构注意到客户对大面额钞票的需求有所增加.</w:t>
      </w:r>
    </w:p>
    <w:p>
      <w:pPr>
        <w:spacing w:line="360" w:lineRule="auto" w:after="20"/>
      </w:pPr>
      <w:r>
        <w:t>B.该机构保存一份按顺序编号的所售货币工具登记簿.</w:t>
      </w:r>
    </w:p>
    <w:p>
      <w:pPr>
        <w:spacing w:line="360" w:lineRule="auto" w:after="20"/>
      </w:pPr>
      <w:r>
        <w:t>C.该机构注意到,在支持资金快速转移或汇款的交易服务中,结算时间有所缩短.</w:t>
      </w:r>
    </w:p>
    <w:p>
      <w:pPr>
        <w:spacing w:line="360" w:lineRule="auto" w:after="20"/>
      </w:pPr>
      <w:r>
        <w:t>D.该机构注意到其数字产品和服务的采用率有所上升.</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识别大额现金交易作为洗钱活动的可疑指标</w:t>
      </w:r>
    </w:p>
    <w:p>
      <w:pPr>
        <w:spacing w:line="360" w:lineRule="auto" w:after="40"/>
      </w:pPr>
      <w:r>
        <w:rPr>
          <w:b/>
          <w:shd w:fill="D6E4F0" w:val="clear"/>
        </w:rPr>
        <w:t>核心解析：</w:t>
      </w:r>
    </w:p>
    <w:p>
      <w:pPr>
        <w:spacing w:line="360" w:lineRule="auto" w:after="40"/>
      </w:pPr>
      <w:r>
        <w:t>教材指出，</w:t>
      </w:r>
      <w:r>
        <w:rPr>
          <w:b/>
        </w:rPr>
        <w:t>大额现金交易可能表明潜在的非法活动</w:t>
      </w:r>
      <w:r>
        <w:rPr>
          <w:sz w:val="15"/>
          <w:vertAlign w:val="superscript"/>
        </w:rPr>
        <w:t>P137</w:t>
      </w:r>
      <w:r>
        <w:t>。题干问吸收存款的金融机构内部或通过该机构出现哪种运营情况可能指示洗钱活动。选项A描述客户对大面额钞票的需求增加，虽然不等同于已经发生大额现金交易，但在给定选项中最接近大额现金活动的异常信号。相较于正常业务活动，突然增长的</w:t>
      </w:r>
      <w:r>
        <w:rPr>
          <w:b/>
        </w:rPr>
        <w:t>大面额钞票需求</w:t>
      </w:r>
      <w:r>
        <w:t>与教材所述风险方向一致，因此从运营情况角度最直接指向洗钱风险。</w:t>
      </w:r>
    </w:p>
    <w:p>
      <w:pPr>
        <w:spacing w:line="360" w:lineRule="auto" w:after="40"/>
      </w:pPr>
      <w:r>
        <w:rPr>
          <w:b/>
          <w:shd w:fill="D6E4F0" w:val="clear"/>
        </w:rPr>
        <w:t>教材原句：</w:t>
      </w:r>
    </w:p>
    <w:p>
      <w:pPr>
        <w:spacing w:line="360" w:lineRule="auto" w:after="40"/>
      </w:pPr>
      <w:r>
        <w:t>"Substantial cash transactions, which might indicate potential illicit activities."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选项B所述“保存按顺序编号的所售货币工具登记簿”属于机构自身的合规与记录保存措施，而非客户引发的可疑运营情况。题干考查的是可能指示洗钱的外部异常迹象，而B项描述的是内控要求，与题干所需的风险指标性质不匹配。</w:t>
      </w:r>
    </w:p>
    <w:p>
      <w:pPr>
        <w:spacing w:line="360" w:lineRule="auto" w:after="40"/>
      </w:pPr>
      <w:r>
        <w:rPr>
          <w:b/>
          <w:shd w:fill="D6E4F0" w:val="clear"/>
        </w:rPr>
        <w:t>C项错误：</w:t>
      </w:r>
    </w:p>
    <w:p>
      <w:pPr>
        <w:spacing w:line="360" w:lineRule="auto" w:after="40"/>
      </w:pPr>
      <w:r>
        <w:t>选项C的“资金快速转移或汇款服务中结算时间缩短”可能是技术升级或效率提升的结果，教材在区块链技术特性中提及更快结算</w:t>
      </w:r>
      <w:r>
        <w:rPr>
          <w:sz w:val="15"/>
          <w:vertAlign w:val="superscript"/>
        </w:rPr>
        <w:t>P110</w:t>
      </w:r>
      <w:r>
        <w:t>，但并未将该现象列为洗钱风险指标。相比之下，选项A涉及的大额现金交易在教材中直接被界定为可能指示非法活动的信号，因此C不如A直接对应教材的洗钱识别框架。</w:t>
      </w:r>
    </w:p>
    <w:p>
      <w:pPr>
        <w:spacing w:line="360" w:lineRule="auto" w:after="40"/>
      </w:pPr>
      <w:r>
        <w:rPr>
          <w:b/>
          <w:shd w:fill="D6E4F0" w:val="clear"/>
        </w:rPr>
        <w:t>D项错误：</w:t>
      </w:r>
    </w:p>
    <w:p>
      <w:pPr>
        <w:spacing w:line="360" w:lineRule="auto" w:after="40"/>
      </w:pPr>
      <w:r>
        <w:t>选项D“数字产品和服务的采用率上升”反映的是客户数字化转型趋势，教材将其与提高客户准入效率、加强风险管理等正面功能关联</w:t>
      </w:r>
      <w:r>
        <w:rPr>
          <w:sz w:val="15"/>
          <w:vertAlign w:val="superscript"/>
        </w:rPr>
        <w:t>P408</w:t>
      </w:r>
      <w:r>
        <w:t>，没有将其列为洗钱的指示信号。题干没有提供任何额外背景将该现象与非法活动建立联系，因此与正确项A的匹配度差距明显。</w:t>
      </w:r>
    </w:p>
    <w:p>
      <w:pPr>
        <w:spacing w:line="360" w:lineRule="auto" w:after="40"/>
      </w:pPr>
      <w:r>
        <w:rPr>
          <w:b/>
          <w:shd w:fill="D6E4F0" w:val="clear"/>
        </w:rPr>
        <w:t>易错提醒：</w:t>
      </w:r>
    </w:p>
    <w:p>
      <w:pPr>
        <w:spacing w:line="360" w:lineRule="auto" w:after="40"/>
      </w:pPr>
      <w:r>
        <w:t>容易将机构自身的合规控制措施（如连续编号、记录保存）误认为洗钱的可疑指标。洗钱指标关注的应是客户行为或交易模式中的异常，而非机构为防范风险主动实施的程序。</w:t>
      </w:r>
    </w:p>
    <w:p>
      <w:pPr>
        <w:spacing w:line="360" w:lineRule="auto" w:after="120"/>
      </w:pPr>
      <w:r/>
    </w:p>
    <w:p>
      <w:pPr>
        <w:spacing w:line="360" w:lineRule="auto" w:after="40"/>
      </w:pPr>
      <w:r>
        <w:t>2. 哪种涉及供应商的情况会给组织带来更高的反洗钱和/或制裁风险？</w:t>
      </w:r>
    </w:p>
    <w:p>
      <w:pPr>
        <w:spacing w:line="360" w:lineRule="auto" w:after="20"/>
      </w:pPr>
      <w:r>
        <w:t>A.供应商向位于受经济制裁地区的终端用户提供服务</w:t>
      </w:r>
    </w:p>
    <w:p>
      <w:pPr>
        <w:spacing w:line="360" w:lineRule="auto" w:after="20"/>
      </w:pPr>
      <w:r>
        <w:t>B.该供应商的销售代表小时候曾是来自一个受制裁司法管辖区的难民</w:t>
      </w:r>
    </w:p>
    <w:p>
      <w:pPr>
        <w:spacing w:line="360" w:lineRule="auto" w:after="20"/>
      </w:pPr>
      <w:r>
        <w:t>C.该供应商是以私营公司形式组织的</w:t>
      </w:r>
    </w:p>
    <w:p>
      <w:pPr>
        <w:spacing w:line="360" w:lineRule="auto" w:after="20"/>
      </w:pPr>
      <w:r>
        <w:t>D.该供应商不存在拥有或控制公司10%以上权益的个人</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识别第三方关系中的制裁相关高风险场景</w:t>
      </w:r>
    </w:p>
    <w:p>
      <w:pPr>
        <w:spacing w:line="360" w:lineRule="auto" w:after="40"/>
      </w:pPr>
      <w:r>
        <w:rPr>
          <w:b/>
          <w:shd w:fill="D6E4F0" w:val="clear"/>
        </w:rPr>
        <w:t>核心解析：</w:t>
      </w:r>
    </w:p>
    <w:p>
      <w:pPr>
        <w:spacing w:line="360" w:lineRule="auto" w:after="40"/>
      </w:pPr>
      <w:r>
        <w:t>制裁相关风险可能产生于</w:t>
      </w:r>
      <w:r>
        <w:rPr>
          <w:b/>
        </w:rPr>
        <w:t>与受制裁或禁运地区、国家进行跨境交易</w:t>
      </w:r>
      <w:r>
        <w:t>时</w:t>
      </w:r>
      <w:r>
        <w:rPr>
          <w:sz w:val="15"/>
          <w:vertAlign w:val="superscript"/>
        </w:rPr>
        <w:t>P138</w:t>
      </w:r>
      <w:r>
        <w:t>，也可能源于与在受制裁国家开展经营活动的客户发生业务往来，因为这类关系具有较高的司法管辖区风险</w:t>
      </w:r>
      <w:r>
        <w:rPr>
          <w:sz w:val="15"/>
          <w:vertAlign w:val="superscript"/>
        </w:rPr>
        <w:t>P73</w:t>
      </w:r>
      <w:r>
        <w:t>。题干考查供应商（第三方）的何种情况会升高制裁风险。选项A中，供应商的服务触达“位于受经济制裁地区的终端用户”，说明该供应商的商业活动通过客户关系间接延伸至受制裁法域。这构成了与受制裁地区的</w:t>
      </w:r>
      <w:r>
        <w:rPr>
          <w:b/>
        </w:rPr>
        <w:t>实质性业务关联</w:t>
      </w:r>
      <w:r>
        <w:t>，因而直接触发制裁风险。相比其他选项讨论的个人背景、组织形式或股权结构，选项A描述的是供应商的业务行为与受制裁地理区域的直接交汇，更符合制裁风险的核心定义。</w:t>
      </w:r>
    </w:p>
    <w:p>
      <w:pPr>
        <w:spacing w:line="360" w:lineRule="auto" w:after="40"/>
      </w:pPr>
      <w:r>
        <w:rPr>
          <w:b/>
          <w:shd w:fill="D6E4F0" w:val="clear"/>
        </w:rPr>
        <w:t>教材原句：</w:t>
      </w:r>
    </w:p>
    <w:p>
      <w:pPr>
        <w:spacing w:line="360" w:lineRule="auto" w:after="40"/>
      </w:pPr>
      <w:r>
        <w:t>"Sanctions-related risks emerge when participating in cross-border transactions with regions or countries subject to sanctions or embargoes."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销售代表的难民身份及其“小时候”的过往，与其当前业务行为无直接关联。制裁风险关注的是主体当下的交易对手与业务地理范围，而非雇员过去的个人经历。题干条件更支持基于实质性业务关联的风险判断。</w:t>
      </w:r>
    </w:p>
    <w:p>
      <w:pPr>
        <w:spacing w:line="360" w:lineRule="auto" w:after="40"/>
      </w:pPr>
      <w:r>
        <w:rPr>
          <w:b/>
          <w:shd w:fill="D6E4F0" w:val="clear"/>
        </w:rPr>
        <w:t>C项错误：</w:t>
      </w:r>
    </w:p>
    <w:p>
      <w:pPr>
        <w:spacing w:line="360" w:lineRule="auto" w:after="40"/>
      </w:pPr>
      <w:r>
        <w:t>“私营公司”这一组织形式本身不是高风险信号。判断制裁风险时，更应关注供应商的业务活动和交易对手，因此A项比C项更直接。</w:t>
      </w:r>
    </w:p>
    <w:p>
      <w:pPr>
        <w:spacing w:line="360" w:lineRule="auto" w:after="40"/>
      </w:pPr>
      <w:r>
        <w:rPr>
          <w:b/>
          <w:shd w:fill="D6E4F0" w:val="clear"/>
        </w:rPr>
        <w:t>D项错误：</w:t>
      </w:r>
    </w:p>
    <w:p>
      <w:pPr>
        <w:spacing w:line="360" w:lineRule="auto" w:after="40"/>
      </w:pPr>
      <w:r>
        <w:t>无个人持股超10%只说明股权较为分散，不能直接推导出制裁风险升高。受益所有人的识别标准还需结合适用法规和客户风险，仅凭无人持股超10%这一事实，无法与制裁风险建立直接联系。</w:t>
      </w:r>
    </w:p>
    <w:p>
      <w:pPr>
        <w:spacing w:line="360" w:lineRule="auto" w:after="40"/>
      </w:pPr>
      <w:r>
        <w:rPr>
          <w:b/>
          <w:shd w:fill="D6E4F0" w:val="clear"/>
        </w:rPr>
        <w:t>易错提醒：</w:t>
      </w:r>
    </w:p>
    <w:p>
      <w:pPr>
        <w:spacing w:line="360" w:lineRule="auto" w:after="40"/>
      </w:pPr>
      <w:r>
        <w:t>制裁风险聚焦于当下的业务关联与地理禁区。选项B利用“受制裁司法管辖区”字眼制造联想，但关键区别在于：接触是因业务交易还是因个人历史背景。制裁合规中，客观的业务触及远比人员的身世标签更重要。</w:t>
      </w:r>
    </w:p>
    <w:p>
      <w:pPr>
        <w:spacing w:line="360" w:lineRule="auto" w:after="120"/>
      </w:pPr>
      <w:r/>
    </w:p>
    <w:p>
      <w:pPr>
        <w:spacing w:line="360" w:lineRule="auto" w:after="40"/>
      </w:pPr>
      <w:r>
        <w:t>3. 一名反洗钱合规官正在评估新客户的资料。以下哪项最可能表明该客户存在洗钱风险？</w:t>
      </w:r>
    </w:p>
    <w:p>
      <w:pPr>
        <w:spacing w:line="360" w:lineRule="auto" w:after="20"/>
      </w:pPr>
      <w:r>
        <w:t>A.客户提供的信息与公开资料或业务活动不一致</w:t>
      </w:r>
    </w:p>
    <w:p>
      <w:pPr>
        <w:spacing w:line="360" w:lineRule="auto" w:after="20"/>
      </w:pPr>
      <w:r>
        <w:t>B.客户要求降低服务费用</w:t>
      </w:r>
    </w:p>
    <w:p>
      <w:pPr>
        <w:spacing w:line="360" w:lineRule="auto" w:after="20"/>
      </w:pPr>
      <w:r>
        <w:t>C.客户询问账户开立流程所需时间</w:t>
      </w:r>
    </w:p>
    <w:p>
      <w:pPr>
        <w:spacing w:line="360" w:lineRule="auto" w:after="20"/>
      </w:pPr>
      <w:r>
        <w:t>D.客户提供了完整的身份证明文件</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识别“客户信息与可验证事实不一致”这一核心洗钱风险信号</w:t>
      </w:r>
    </w:p>
    <w:p>
      <w:pPr>
        <w:spacing w:line="360" w:lineRule="auto" w:after="40"/>
      </w:pPr>
      <w:r>
        <w:rPr>
          <w:b/>
          <w:shd w:fill="D6E4F0" w:val="clear"/>
        </w:rPr>
        <w:t>核心解析：</w:t>
      </w:r>
    </w:p>
    <w:p>
      <w:pPr>
        <w:spacing w:line="360" w:lineRule="auto" w:after="40"/>
      </w:pPr>
      <w:r>
        <w:t>在反洗钱框架下，客户尽职调查的核心是核实客户所声称的身份和业务是否真实存在且合理。当</w:t>
      </w:r>
      <w:r>
        <w:rPr>
          <w:b/>
        </w:rPr>
        <w:t>客户提供的信息与独立公开资料或业务活动不一致</w:t>
      </w:r>
      <w:r>
        <w:t>时，就产生了红旗警示（red flag），这直接指向潜在的可疑行为。教材在Goodwish Jade珠宝店案例</w:t>
      </w:r>
      <w:r>
        <w:rPr>
          <w:sz w:val="15"/>
          <w:vertAlign w:val="superscript"/>
        </w:rPr>
        <w:t>P129</w:t>
      </w:r>
      <w:r>
        <w:t>中展示了这一逻辑：反洗钱官员发现该珠宝店有多笔超50万美元的夜间现金交易，但其官网明确写着营业时间为上午10时至下午6时，且没有网店——“交易时间与宣称的业务运营模式明显不符，引发了对交易合法性的质疑”。本题中，选项A描述的情景“客户提供的信息与公开资料或业务活动不一致”，与教材案例揭示的</w:t>
      </w:r>
      <w:r>
        <w:rPr>
          <w:b/>
        </w:rPr>
        <w:t>风险识别逻辑</w:t>
      </w:r>
      <w:r>
        <w:t>完全吻合，是评估新客户时最直接的洗钱风险信号。</w:t>
      </w:r>
    </w:p>
    <w:p>
      <w:pPr>
        <w:spacing w:line="360" w:lineRule="auto" w:after="40"/>
      </w:pPr>
      <w:r>
        <w:rPr>
          <w:b/>
          <w:shd w:fill="D6E4F0" w:val="clear"/>
        </w:rPr>
        <w:t>教材原句：</w:t>
      </w:r>
    </w:p>
    <w:p>
      <w:pPr>
        <w:spacing w:line="360" w:lineRule="auto" w:after="40"/>
      </w:pPr>
      <w:r>
        <w:t>"GJ's website states that the shop operates daily from 10 a.m. to 6 p.m., and does not run an online store, raising questions about the legitimacy of these late-night transactions."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要求降低服务费用本身是正常的商业谈判行为，与洗钱风险之间不存在教材定义的直接关联。教材讨论的风险指标更关注交易模式、信息真实性等因素，而非客户对价格的敏感度，题干条件更直接匹配信息不一致场景而非费用诉求。</w:t>
      </w:r>
    </w:p>
    <w:p>
      <w:pPr>
        <w:spacing w:line="360" w:lineRule="auto" w:after="40"/>
      </w:pPr>
      <w:r>
        <w:rPr>
          <w:b/>
          <w:shd w:fill="D6E4F0" w:val="clear"/>
        </w:rPr>
        <w:t>C项错误：</w:t>
      </w:r>
    </w:p>
    <w:p>
      <w:pPr>
        <w:spacing w:line="360" w:lineRule="auto" w:after="40"/>
      </w:pPr>
      <w:r>
        <w:t>询问开户流程所需时间是新客户的常见行为，教材甚至提到电子KYC可“在数小时或数分钟内完成客户开户”</w:t>
      </w:r>
      <w:r>
        <w:rPr>
          <w:sz w:val="15"/>
          <w:vertAlign w:val="superscript"/>
        </w:rPr>
        <w:t>P405</w:t>
      </w:r>
      <w:r>
        <w:t>，表明客户关心开户效率本身并不构成风险信号。相比之下，信息不一致是教材反复强调的异常指标，更接近风险判断的核心。</w:t>
      </w:r>
    </w:p>
    <w:p>
      <w:pPr>
        <w:spacing w:line="360" w:lineRule="auto" w:after="40"/>
      </w:pPr>
      <w:r>
        <w:rPr>
          <w:b/>
          <w:shd w:fill="D6E4F0" w:val="clear"/>
        </w:rPr>
        <w:t>D项错误：</w:t>
      </w:r>
    </w:p>
    <w:p>
      <w:pPr>
        <w:spacing w:line="360" w:lineRule="auto" w:after="40"/>
      </w:pPr>
      <w:r>
        <w:t>提供完整的身份证明文件是客户配合尽职调查的积极表现，教材在客户生命周期的身份识别与验证环节将其列为标准流程</w:t>
      </w:r>
      <w:r>
        <w:rPr>
          <w:sz w:val="15"/>
          <w:vertAlign w:val="superscript"/>
        </w:rPr>
        <w:t>P301</w:t>
      </w:r>
      <w:r>
        <w:t>。这恰是机构希望客户做到的合规行为，与洗钱风险的方向相反，无法像选项A那样直接指向可疑信号。</w:t>
      </w:r>
    </w:p>
    <w:p>
      <w:pPr>
        <w:spacing w:line="360" w:lineRule="auto" w:after="40"/>
      </w:pPr>
      <w:r>
        <w:rPr>
          <w:b/>
          <w:shd w:fill="D6E4F0" w:val="clear"/>
        </w:rPr>
        <w:t>易错提醒：</w:t>
      </w:r>
    </w:p>
    <w:p>
      <w:pPr>
        <w:spacing w:line="360" w:lineRule="auto" w:after="40"/>
      </w:pPr>
      <w:r>
        <w:t>初学者容易将“客户行为与常规不符”的各个选项都视为风险，但关键在于区分“正常客户也会做的事”和“异常矛盾点”。教材的核心判断标准并非行为本身是否少见，而是是否存在“可被独立验证的矛盾”——像营业时间与交易时间的冲突，这类矛盾难以被合理化解，因此风险权重远高于费用协商、开户咨询等日常行为。</w:t>
      </w:r>
    </w:p>
    <w:p>
      <w:pPr>
        <w:spacing w:line="360" w:lineRule="auto" w:after="120"/>
      </w:pPr>
      <w:r/>
    </w:p>
    <w:p>
      <w:pPr>
        <w:spacing w:line="360" w:lineRule="auto" w:after="40"/>
      </w:pPr>
      <w:r>
        <w:t>4. 一家银行的交易监控系统对一家经营洗车业务的客户发出了警报。该客户存入大量现金后，又发起了国际电汇。以下哪种额外情况会使该案更可疑？</w:t>
      </w:r>
    </w:p>
    <w:p>
      <w:pPr>
        <w:spacing w:line="360" w:lineRule="auto" w:after="20"/>
      </w:pPr>
      <w:r>
        <w:t>A.电汇的受益人是一家外国公司，其股东和董事均为其他公司</w:t>
      </w:r>
    </w:p>
    <w:p>
      <w:pPr>
        <w:spacing w:line="360" w:lineRule="auto" w:after="20"/>
      </w:pPr>
      <w:r>
        <w:t>B.这些电汇的金额各不相同，但收款人相同</w:t>
      </w:r>
    </w:p>
    <w:p>
      <w:pPr>
        <w:spacing w:line="360" w:lineRule="auto" w:after="20"/>
      </w:pPr>
      <w:r>
        <w:t>C.电汇的受益人是来自灰名单国家的居民</w:t>
      </w:r>
    </w:p>
    <w:p>
      <w:pPr>
        <w:spacing w:line="360" w:lineRule="auto" w:after="20"/>
      </w:pPr>
      <w:r>
        <w:t>D.电汇受益人居住在外国，且与企业主同姓</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识别受益所有权不透明作为核心可疑指标</w:t>
      </w:r>
    </w:p>
    <w:p>
      <w:pPr>
        <w:spacing w:line="360" w:lineRule="auto" w:after="40"/>
      </w:pPr>
      <w:r>
        <w:rPr>
          <w:b/>
          <w:shd w:fill="D6E4F0" w:val="clear"/>
        </w:rPr>
        <w:t>核心解析：</w:t>
      </w:r>
    </w:p>
    <w:p>
      <w:pPr>
        <w:spacing w:line="360" w:lineRule="auto" w:after="40"/>
      </w:pPr>
      <w:r>
        <w:t>教材将复杂所有权结构列为高价值资产交易的洗钱红旗之一，因为此类结构可能</w:t>
      </w:r>
      <w:r>
        <w:rPr>
          <w:b/>
        </w:rPr>
        <w:t>掩盖资产的真实受益所有人，并增加追踪资金来源的难度</w:t>
      </w:r>
      <w:r>
        <w:rPr>
          <w:sz w:val="15"/>
          <w:vertAlign w:val="superscript"/>
        </w:rPr>
        <w:t>P128</w:t>
      </w:r>
      <w:r>
        <w:t>。选项A中，电汇受益公司的股东和董事均为其他公司，表明其所有权和控制结构较为复杂，可能增加识别最终控制人及追踪资金去向的难度。</w:t>
      </w:r>
    </w:p>
    <w:p>
      <w:pPr>
        <w:spacing w:line="360" w:lineRule="auto" w:after="40"/>
      </w:pPr>
      <w:r>
        <w:t>洗车行属于现金密集型业务，此类业务因处理大量现金而更容易面临洗钱风险</w:t>
      </w:r>
      <w:r>
        <w:rPr>
          <w:sz w:val="15"/>
          <w:vertAlign w:val="superscript"/>
        </w:rPr>
        <w:t>P65</w:t>
      </w:r>
      <w:r>
        <w:t>。在大额现金存款后进行国际电汇的既有警报基础上，受益方复杂且不透明的公司结构会构成更有辨识力的附加风险因素。题干并未说明现金来源违法，也不能仅凭公司结构认定受益方必然是壳公司；但两项风险特征结合后，足以支持进一步调查。</w:t>
      </w:r>
    </w:p>
    <w:p>
      <w:pPr>
        <w:spacing w:line="360" w:lineRule="auto" w:after="40"/>
      </w:pPr>
      <w:r>
        <w:t>教材提到涉及高风险司法管辖区的交易可能触发警报</w:t>
      </w:r>
      <w:r>
        <w:rPr>
          <w:sz w:val="15"/>
          <w:vertAlign w:val="superscript"/>
        </w:rPr>
        <w:t>P329</w:t>
      </w:r>
      <w:r>
        <w:t>，但选项C仅说明受益人居住在FATF灰名单国家。灰名单表示该司法管辖区正接受加强监测，不能直接等同于教材所称的高风险司法管辖区；仅凭居住地也不足以形成比A更直接的可疑特征。因此，A是四项中最能增加本案可疑程度的情况。</w:t>
      </w:r>
    </w:p>
    <w:p>
      <w:pPr>
        <w:spacing w:line="360" w:lineRule="auto" w:after="40"/>
      </w:pPr>
      <w:r>
        <w:rPr>
          <w:b/>
          <w:shd w:fill="D6E4F0" w:val="clear"/>
        </w:rPr>
        <w:t>教材原句：</w:t>
      </w:r>
    </w:p>
    <w:p>
      <w:pPr>
        <w:spacing w:line="360" w:lineRule="auto" w:after="40"/>
      </w:pPr>
      <w:r>
        <w:t>"The use of complex ownership structures: These include the use of shell companies. These can obscure the true beneficial owner of the asset, which makes it difficult to trace the source of funds."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电汇金额不同但受益人相同，既可能出现在正常的分期付款或持续商业往来中，也可能需要结合金额、频率和交易目的进一步调查。题干没有提供足以使B比A更可疑的附加事实。</w:t>
      </w:r>
    </w:p>
    <w:p>
      <w:pPr>
        <w:spacing w:line="360" w:lineRule="auto" w:after="40"/>
      </w:pPr>
      <w:r>
        <w:rPr>
          <w:b/>
          <w:shd w:fill="D6E4F0" w:val="clear"/>
        </w:rPr>
        <w:t>C项错误：</w:t>
      </w:r>
    </w:p>
    <w:p>
      <w:pPr>
        <w:spacing w:line="360" w:lineRule="auto" w:after="40"/>
      </w:pPr>
      <w:r>
        <w:t>受益人居住在灰名单国家会带来一定地理风险，但灰名单并不等同于高风险名单，且居住地本身不能证明交易异常。相比之下，A更直接涉及最终控制人和受益所有人的识别困难。</w:t>
      </w:r>
    </w:p>
    <w:p>
      <w:pPr>
        <w:spacing w:line="360" w:lineRule="auto" w:after="40"/>
      </w:pPr>
      <w:r>
        <w:rPr>
          <w:b/>
          <w:shd w:fill="D6E4F0" w:val="clear"/>
        </w:rPr>
        <w:t>D项错误：</w:t>
      </w:r>
    </w:p>
    <w:p>
      <w:pPr>
        <w:spacing w:line="360" w:lineRule="auto" w:after="40"/>
      </w:pPr>
      <w:r>
        <w:t>同姓可能提示双方存在亲属或关联关系，也可能只是巧合。缺少关系性质、交易目的或资金用途等信息时，仅凭姓氏不足以使D成为最可疑的附加情况。</w:t>
      </w:r>
    </w:p>
    <w:p>
      <w:pPr>
        <w:spacing w:line="360" w:lineRule="auto" w:after="120"/>
      </w:pPr>
      <w:r/>
    </w:p>
    <w:p>
      <w:pPr>
        <w:spacing w:line="360" w:lineRule="auto" w:after="40"/>
      </w:pPr>
      <w:r>
        <w:t>5. 在了解您的客户/客户尽职调查(KYC/CDD)过程中,识别政治公众人物(PEP)的任何"家庭成员"或"密切关系人"至关重要,因为他们可能是:</w:t>
      </w:r>
    </w:p>
    <w:p>
      <w:pPr>
        <w:spacing w:line="360" w:lineRule="auto" w:after="20"/>
      </w:pPr>
      <w:r>
        <w:t>A.为自身企业执行与该政治公众人物财富状况不相称的跨境交易。</w:t>
      </w:r>
    </w:p>
    <w:p>
      <w:pPr>
        <w:spacing w:line="360" w:lineRule="auto" w:after="20"/>
      </w:pPr>
      <w:r>
        <w:t>B.能够提供更多关于该政治公众人物行踪和隐匿财产的信息.</w:t>
      </w:r>
    </w:p>
    <w:p>
      <w:pPr>
        <w:spacing w:line="360" w:lineRule="auto" w:after="20"/>
      </w:pPr>
      <w:r>
        <w:t>C.经常前往离岸司法管辖区度假,这使他们面临更高的反洗钱风险.</w:t>
      </w:r>
    </w:p>
    <w:p>
      <w:pPr>
        <w:spacing w:line="360" w:lineRule="auto" w:after="20"/>
      </w:pPr>
      <w:r>
        <w:t>D.作为中间人协助贿赂或腐败行为,或为政治公众人物隐瞒非法财富.</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识别PEP家庭成员和密切关系人的核心风险在于贿赂腐败和隐藏财富</w:t>
      </w:r>
    </w:p>
    <w:p>
      <w:pPr>
        <w:spacing w:line="360" w:lineRule="auto" w:after="40"/>
      </w:pPr>
      <w:r>
        <w:rPr>
          <w:b/>
          <w:shd w:fill="D6E4F0" w:val="clear"/>
        </w:rPr>
        <w:t>核心解析：</w:t>
      </w:r>
    </w:p>
    <w:p>
      <w:pPr>
        <w:spacing w:line="360" w:lineRule="auto" w:after="40"/>
      </w:pPr>
      <w:r>
        <w:t>政治敏感人物（PEP）指担任显要公职的个人；教材指出，PEP及其直系亲属或密切关联人可能面临更高的</w:t>
      </w:r>
      <w:r>
        <w:rPr>
          <w:b/>
        </w:rPr>
        <w:t>贿赂和腐败风险</w:t>
      </w:r>
      <w:r>
        <w:rPr>
          <w:sz w:val="15"/>
          <w:vertAlign w:val="superscript"/>
        </w:rPr>
        <w:t>P137</w:t>
      </w:r>
      <w:r>
        <w:t>。教材还说明，部分司法管辖区把家庭成员和密切关联人纳入PEP分类，是因为其可能</w:t>
      </w:r>
      <w:r>
        <w:rPr>
          <w:b/>
        </w:rPr>
        <w:t>间接参与金融犯罪</w:t>
      </w:r>
      <w:r>
        <w:rPr>
          <w:sz w:val="15"/>
          <w:vertAlign w:val="superscript"/>
        </w:rPr>
        <w:t>P320</w:t>
      </w:r>
      <w:r>
        <w:t>。因此，识别这些人是为了评估其是否可能被利用参与贿赂、腐败或其他金融犯罪。D所说的“作为中间人协助贿赂或腐败、隐瞒PEP非法财富”正是这种风险的具体表现，因此最符合题意。</w:t>
      </w:r>
    </w:p>
    <w:p>
      <w:pPr>
        <w:spacing w:line="360" w:lineRule="auto" w:after="40"/>
      </w:pPr>
      <w:r>
        <w:rPr>
          <w:b/>
          <w:shd w:fill="D6E4F0" w:val="clear"/>
        </w:rPr>
        <w:t>教材原句：</w:t>
      </w:r>
    </w:p>
    <w:p>
      <w:pPr>
        <w:spacing w:line="360" w:lineRule="auto" w:after="40"/>
      </w:pPr>
      <w:r>
        <w:t>"A PEP is an individual in a prominent political function, or their immediate family or close associates, who could be at higher risk for involvement in bribery and corruption."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不相称交易可以是风险信号，但A强调的是客户自身业务交易，没有体现教材所强调的PEP关联人可能间接参与贿赂、腐败或金融犯罪这一身份风险</w:t>
      </w:r>
      <w:r>
        <w:rPr>
          <w:sz w:val="15"/>
          <w:vertAlign w:val="superscript"/>
        </w:rPr>
        <w:t>P137、P320</w:t>
      </w:r>
      <w:r>
        <w:t>。</w:t>
      </w:r>
    </w:p>
    <w:p>
      <w:pPr>
        <w:spacing w:line="360" w:lineRule="auto" w:after="40"/>
      </w:pPr>
      <w:r>
        <w:rPr>
          <w:b/>
          <w:shd w:fill="D6E4F0" w:val="clear"/>
        </w:rPr>
        <w:t>B项错误：</w:t>
      </w:r>
    </w:p>
    <w:p>
      <w:pPr>
        <w:spacing w:line="360" w:lineRule="auto" w:after="40"/>
      </w:pPr>
      <w:r>
        <w:t>能够提供PEP行踪或财产信息并不是将其纳入PEP筛查范围的合规理由；筛查关注的是其自身可能涉及的贿赂、腐败和金融犯罪风险。</w:t>
      </w:r>
    </w:p>
    <w:p>
      <w:pPr>
        <w:spacing w:line="360" w:lineRule="auto" w:after="40"/>
      </w:pPr>
      <w:r>
        <w:rPr>
          <w:b/>
          <w:shd w:fill="D6E4F0" w:val="clear"/>
        </w:rPr>
        <w:t>C项错误：</w:t>
      </w:r>
    </w:p>
    <w:p>
      <w:pPr>
        <w:spacing w:line="360" w:lineRule="auto" w:after="40"/>
      </w:pPr>
      <w:r>
        <w:t>前往离岸司法管辖区可能增加地理风险，但“度假”本身不能推出金融犯罪参与；其与教材所述PEP关联人身份风险的对应关系弱于D</w:t>
      </w:r>
      <w:r>
        <w:rPr>
          <w:sz w:val="15"/>
          <w:vertAlign w:val="superscript"/>
        </w:rPr>
        <w:t>P137、P320</w:t>
      </w:r>
      <w:r>
        <w:t>。</w:t>
      </w:r>
    </w:p>
    <w:p>
      <w:pPr>
        <w:spacing w:line="360" w:lineRule="auto" w:after="120"/>
      </w:pPr>
      <w:r/>
    </w:p>
    <w:p>
      <w:pPr>
        <w:spacing w:line="360" w:lineRule="auto" w:after="40"/>
      </w:pPr>
      <w:r>
        <w:t>6. 根据金融行动特别工作组(FATF)关于恐怖主义融资的报告,慈善机构和非营利组织往往容易受到恐怖主义融资的影响,原因在于:（选择两项。）</w:t>
      </w:r>
    </w:p>
    <w:p>
      <w:pPr>
        <w:spacing w:line="360" w:lineRule="auto" w:after="20"/>
      </w:pPr>
      <w:r>
        <w:t>A.从各种渠道募集捐款,其主要目标是慈善事业和社会福祉</w:t>
      </w:r>
    </w:p>
    <w:p>
      <w:pPr>
        <w:spacing w:line="360" w:lineRule="auto" w:after="20"/>
      </w:pPr>
      <w:r>
        <w:t>B.通常是合法机构,不会将通过捐赠筹集的资金用于个人或实体谋取私利</w:t>
      </w:r>
    </w:p>
    <w:p>
      <w:pPr>
        <w:spacing w:line="360" w:lineRule="auto" w:after="20"/>
      </w:pPr>
      <w:r>
        <w:t>C.具备全球业务布局,为国家和国际运营以及金融交易提供框架,而这些运营和交易往往发生在或临近恐怖活动高发地区.</w:t>
      </w:r>
    </w:p>
    <w:p>
      <w:pPr>
        <w:spacing w:line="360" w:lineRule="auto" w:after="20"/>
      </w:pPr>
      <w:r>
        <w:t>D.享有公众信任,能够获取大量资金来源,并经常开展现金密集型活动</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识别慈善行业易被恐怖融资滥用的脆弱性特征</w:t>
      </w:r>
    </w:p>
    <w:p>
      <w:pPr>
        <w:spacing w:line="360" w:lineRule="auto" w:after="40"/>
      </w:pPr>
      <w:r>
        <w:rPr>
          <w:b/>
          <w:shd w:fill="D6E4F0" w:val="clear"/>
        </w:rPr>
        <w:t>核心解析：</w:t>
      </w:r>
    </w:p>
    <w:p>
      <w:pPr>
        <w:spacing w:line="360" w:lineRule="auto" w:after="40"/>
      </w:pPr>
      <w:r>
        <w:t>慈善机构和非政府组织可能因</w:t>
      </w:r>
      <w:r>
        <w:rPr>
          <w:b/>
        </w:rPr>
        <w:t>享有公众信任、通常具有全球存在、可从未知或未披露来源获取大量资金、现金密集</w:t>
      </w:r>
      <w:r>
        <w:t>，以及位于或邻近恐怖活动暴露区域而被金融犯罪利用</w:t>
      </w:r>
      <w:r>
        <w:rPr>
          <w:sz w:val="15"/>
          <w:vertAlign w:val="superscript"/>
        </w:rPr>
        <w:t>P134</w:t>
      </w:r>
      <w:r>
        <w:t>。选项C对应全球业务布局和高风险地区活动，选项D对应公众信任、大量资金和资金密集。题干问的是组织容易被恐怖融资利用的原因，而不是慈善机构的一般定义，因此应选C、D。</w:t>
      </w:r>
    </w:p>
    <w:p>
      <w:pPr>
        <w:spacing w:line="360" w:lineRule="auto" w:after="40"/>
      </w:pPr>
      <w:r>
        <w:rPr>
          <w:b/>
          <w:shd w:fill="D6E4F0" w:val="clear"/>
        </w:rPr>
        <w:t>教材原句：</w:t>
      </w:r>
    </w:p>
    <w:p>
      <w:pPr>
        <w:spacing w:line="360" w:lineRule="auto" w:after="40"/>
      </w:pPr>
      <w:r>
        <w:t>"Often being in or near areas exposed to terrorist activity"</w:t>
      </w:r>
      <w:r>
        <w:rPr>
          <w:sz w:val="15"/>
          <w:vertAlign w:val="superscript"/>
        </w:rPr>
        <w:t>P134</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“从各种渠道募集捐款”和公益目标描述的是慈善机构的一般运作方式。真正增加滥用风险的是资金来源不明、现金密集、跨地域经营或在高风险地区活动等具体条件</w:t>
      </w:r>
      <w:r>
        <w:rPr>
          <w:sz w:val="15"/>
          <w:vertAlign w:val="superscript"/>
        </w:rPr>
        <w:t>P134</w:t>
      </w:r>
      <w:r>
        <w:t>，而不是募款和公益宗旨本身。</w:t>
      </w:r>
    </w:p>
    <w:p>
      <w:pPr>
        <w:spacing w:line="360" w:lineRule="auto" w:after="40"/>
      </w:pPr>
      <w:r>
        <w:rPr>
          <w:b/>
          <w:shd w:fill="D6E4F0" w:val="clear"/>
        </w:rPr>
        <w:t>B项错误：</w:t>
      </w:r>
    </w:p>
    <w:p>
      <w:pPr>
        <w:spacing w:line="360" w:lineRule="auto" w:after="40"/>
      </w:pPr>
      <w:r>
        <w:t>大多数慈善机构和非政府组织虽然合法，仍可能被恐怖组织利用</w:t>
      </w:r>
      <w:r>
        <w:rPr>
          <w:sz w:val="15"/>
          <w:vertAlign w:val="superscript"/>
        </w:rPr>
        <w:t>P135</w:t>
      </w:r>
      <w:r>
        <w:t>。“通常合法”不能排除被滥用的可能；“不会将资金用于私利”描述的是合法组织的规范状态，不是易受恐怖融资影响的原因。</w:t>
      </w:r>
    </w:p>
    <w:p>
      <w:pPr>
        <w:spacing w:line="360" w:lineRule="auto" w:after="40"/>
      </w:pPr>
      <w:r>
        <w:rPr>
          <w:b/>
          <w:shd w:fill="D6E4F0" w:val="clear"/>
        </w:rPr>
        <w:t>易错提醒：</w:t>
      </w:r>
    </w:p>
    <w:p>
      <w:pPr>
        <w:spacing w:line="360" w:lineRule="auto" w:after="40"/>
      </w:pPr>
      <w:r>
        <w:t>慈善机构的公益宗旨或通常合法，属于组织的一般属性；全球存在、在恐怖活动暴露区域附近运作、公众信任、来源未知或未披露的大量资金及现金密集，才会增加被滥用的风险</w:t>
      </w:r>
      <w:r>
        <w:rPr>
          <w:sz w:val="15"/>
          <w:vertAlign w:val="superscript"/>
        </w:rPr>
        <w:t>P134-P135</w:t>
      </w:r>
      <w:r>
        <w:t>。风险特征表示需要加强关注，不等于组织实际参与了恐怖融资。</w:t>
      </w:r>
    </w:p>
    <w:p>
      <w:pPr>
        <w:spacing w:line="360" w:lineRule="auto" w:after="120"/>
      </w:pPr>
      <w:r/>
    </w:p>
    <w:p>
      <w:pPr>
        <w:spacing w:line="360" w:lineRule="auto" w:after="40"/>
      </w:pPr>
      <w:r>
        <w:t>7. 一位居住在被列入欧盟高风险第三国名单的A国的富人代理人,找到欧盟成员国B国的一位公证人.该代理人希望尽快完成其委托人通过一家离岸公司近期在拍卖会上购得的资产的处置.代理人还持有由欧盟成员国C国一家知名律师事务所出具的授权委托书,授权其代表离岸公司行事.代理人要求公证人尽快办理,无需特别关注由此交易产生的相关费用或税款.公证人注意到拟议的转让价格远低于拍卖会上的成交价,但代理人不愿讨论此事,并声称这不在授权委托书的授权范围内.公证员应考虑哪些危险信号？（选择两项。）</w:t>
      </w:r>
    </w:p>
    <w:p>
      <w:pPr>
        <w:spacing w:line="360" w:lineRule="auto" w:after="20"/>
      </w:pPr>
      <w:r>
        <w:t>A.该代理人要求以低于近期收购价的价格处置资产.</w:t>
      </w:r>
    </w:p>
    <w:p>
      <w:pPr>
        <w:spacing w:line="360" w:lineRule="auto" w:after="20"/>
      </w:pPr>
      <w:r>
        <w:t>B.通过拍卖获得的资产被登记在一家离岸公司的名下</w:t>
      </w:r>
    </w:p>
    <w:p>
      <w:pPr>
        <w:spacing w:line="360" w:lineRule="auto" w:after="20"/>
      </w:pPr>
      <w:r>
        <w:t>C.该代理人代表一名居住在欧盟高风险第三国名单所列司法管辖区的人士行事</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识别高价值资产交易中价格操纵的危险信号</w:t>
      </w:r>
    </w:p>
    <w:p>
      <w:pPr>
        <w:spacing w:line="360" w:lineRule="auto" w:after="40"/>
      </w:pPr>
      <w:r>
        <w:rPr>
          <w:b/>
          <w:shd w:fill="D6E4F0" w:val="clear"/>
        </w:rPr>
        <w:t>核心解析：</w:t>
      </w:r>
    </w:p>
    <w:p>
      <w:pPr>
        <w:spacing w:line="360" w:lineRule="auto" w:after="40"/>
      </w:pPr>
      <w:r>
        <w:t>在高价值资产交易中，犯罪分子可能抬高或压低资产价值，以操纵交易并掩盖资金的真实性质</w:t>
      </w:r>
      <w:r>
        <w:rPr>
          <w:sz w:val="15"/>
          <w:vertAlign w:val="superscript"/>
        </w:rPr>
        <w:t>P129</w:t>
      </w:r>
      <w:r>
        <w:t>。题干显示，拟议转让价显著低于拍卖成交价，代理人又拒绝解释价差；这直接对应A所述的</w:t>
      </w:r>
      <w:r>
        <w:rPr>
          <w:b/>
        </w:rPr>
        <w:t>低价处置红旗</w:t>
      </w:r>
      <w:r>
        <w:t>。题干还明确说明委托人居住在欧盟列出的</w:t>
      </w:r>
      <w:r>
        <w:rPr>
          <w:b/>
        </w:rPr>
        <w:t>高风险第三国</w:t>
      </w:r>
      <w:r>
        <w:t>。教材将来自高风险或不合作司法管辖区的买家视为额外洗钱风险</w:t>
      </w:r>
      <w:r>
        <w:rPr>
          <w:sz w:val="15"/>
          <w:vertAlign w:val="superscript"/>
        </w:rPr>
        <w:t>P122</w:t>
      </w:r>
      <w:r>
        <w:t>，因此C也是独立的</w:t>
      </w:r>
      <w:r>
        <w:rPr>
          <w:b/>
        </w:rPr>
        <w:t>地理风险信号</w:t>
      </w:r>
      <w:r>
        <w:t>。综合</w:t>
      </w:r>
      <w:r>
        <w:rPr>
          <w:b/>
        </w:rPr>
        <w:t>交易行为</w:t>
      </w:r>
      <w:r>
        <w:t>和</w:t>
      </w:r>
      <w:r>
        <w:rPr>
          <w:b/>
        </w:rPr>
        <w:t>客户地理背景</w:t>
      </w:r>
      <w:r>
        <w:t>，应选择A、C。</w:t>
      </w:r>
    </w:p>
    <w:p>
      <w:pPr>
        <w:spacing w:line="360" w:lineRule="auto" w:after="40"/>
      </w:pPr>
      <w:r>
        <w:rPr>
          <w:b/>
          <w:shd w:fill="D6E4F0" w:val="clear"/>
        </w:rPr>
        <w:t>教材原句：</w:t>
      </w:r>
    </w:p>
    <w:p>
      <w:pPr>
        <w:spacing w:line="360" w:lineRule="auto" w:after="40"/>
      </w:pPr>
      <w:r>
        <w:t>"Criminals inflate or deflate the asset’s value to manipulate financial transactions and obscure the true nature of the funds involved."</w:t>
      </w:r>
      <w:r>
        <w:rPr>
          <w:sz w:val="15"/>
          <w:vertAlign w:val="superscript"/>
        </w:rPr>
        <w:t>P129</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rPr>
          <w:b/>
        </w:rPr>
        <w:t>离岸公司</w:t>
      </w:r>
      <w:r>
        <w:t>可能用于遮蔽所有权，但“资产登记在离岸公司名下”本身没有说明</w:t>
      </w:r>
      <w:r>
        <w:rPr>
          <w:b/>
        </w:rPr>
        <w:t>所有权结构为何不透明</w:t>
      </w:r>
      <w:r>
        <w:t>、是否</w:t>
      </w:r>
      <w:r>
        <w:rPr>
          <w:b/>
        </w:rPr>
        <w:t>缺乏合理商业理由</w:t>
      </w:r>
      <w:r>
        <w:t>。与题干明确的异常低价和高风险居住地相比，B需要额外事实才能达到同等红旗强度</w:t>
      </w:r>
      <w:r>
        <w:rPr>
          <w:sz w:val="15"/>
          <w:vertAlign w:val="superscript"/>
        </w:rPr>
        <w:t>P122、P129</w:t>
      </w:r>
      <w:r>
        <w:t>。</w:t>
      </w:r>
    </w:p>
    <w:p>
      <w:pPr>
        <w:spacing w:line="360" w:lineRule="auto" w:after="40"/>
      </w:pPr>
      <w:r>
        <w:rPr>
          <w:b/>
          <w:shd w:fill="D6E4F0" w:val="clear"/>
        </w:rPr>
        <w:t>易错提醒：</w:t>
      </w:r>
    </w:p>
    <w:p>
      <w:pPr>
        <w:spacing w:line="360" w:lineRule="auto" w:after="40"/>
      </w:pPr>
      <w:r>
        <w:t>本题同时考查</w:t>
      </w:r>
      <w:r>
        <w:rPr>
          <w:b/>
        </w:rPr>
        <w:t>交易异常</w:t>
      </w:r>
      <w:r>
        <w:t>和</w:t>
      </w:r>
      <w:r>
        <w:rPr>
          <w:b/>
        </w:rPr>
        <w:t>地理风险</w:t>
      </w:r>
      <w:r>
        <w:t>。低于近期成交价的处置属于</w:t>
      </w:r>
      <w:r>
        <w:rPr>
          <w:b/>
        </w:rPr>
        <w:t>估值操纵线索</w:t>
      </w:r>
      <w:r>
        <w:rPr>
          <w:sz w:val="15"/>
          <w:vertAlign w:val="superscript"/>
        </w:rPr>
        <w:t>P129</w:t>
      </w:r>
      <w:r>
        <w:t>；来自高风险司法管辖区属于</w:t>
      </w:r>
      <w:r>
        <w:rPr>
          <w:b/>
        </w:rPr>
        <w:t>客户固有风险线索</w:t>
      </w:r>
      <w:r>
        <w:rPr>
          <w:sz w:val="15"/>
          <w:vertAlign w:val="superscript"/>
        </w:rPr>
        <w:t>P122</w:t>
      </w:r>
      <w:r>
        <w:t>；</w:t>
      </w:r>
      <w:r>
        <w:rPr>
          <w:b/>
        </w:rPr>
        <w:t>离岸公司</w:t>
      </w:r>
      <w:r>
        <w:t>只有在伴随</w:t>
      </w:r>
      <w:r>
        <w:rPr>
          <w:b/>
        </w:rPr>
        <w:t>不透明所有权</w:t>
      </w:r>
      <w:r>
        <w:t>或</w:t>
      </w:r>
      <w:r>
        <w:rPr>
          <w:b/>
        </w:rPr>
        <w:t>缺乏合理商业理由</w:t>
      </w:r>
      <w:r>
        <w:t>时，才更接近直接红旗。</w:t>
      </w:r>
    </w:p>
    <w:p>
      <w:pPr>
        <w:spacing w:line="360" w:lineRule="auto" w:after="120"/>
      </w:pPr>
      <w:r/>
    </w:p>
    <w:p>
      <w:pPr>
        <w:spacing w:line="360" w:lineRule="auto" w:after="40"/>
      </w:pPr>
      <w:r>
        <w:t>8. 在恐怖主义融资的背景下,以下哪两项可能是非营利组织(NPO)被滥用的潜在迹象？（选择两项。）</w:t>
      </w:r>
    </w:p>
    <w:p>
      <w:pPr>
        <w:spacing w:line="360" w:lineRule="auto" w:after="20"/>
      </w:pPr>
      <w:r>
        <w:t>A.参与社区发展和人道主义援助项目</w:t>
      </w:r>
    </w:p>
    <w:p>
      <w:pPr>
        <w:spacing w:line="360" w:lineRule="auto" w:after="20"/>
      </w:pPr>
      <w:r>
        <w:t>B.来自匿名来源的大额且无法说明来源的现金捐赠</w:t>
      </w:r>
    </w:p>
    <w:p>
      <w:pPr>
        <w:spacing w:line="360" w:lineRule="auto" w:after="20"/>
      </w:pPr>
      <w:r>
        <w:t>C.在监管有限的高风险司法管辖区开展业务</w:t>
      </w:r>
    </w:p>
    <w:p>
      <w:pPr>
        <w:spacing w:line="360" w:lineRule="auto" w:after="20"/>
      </w:pPr>
      <w:r>
        <w:t>D.领导层和使命宣言频繁变化</w:t>
      </w:r>
    </w:p>
    <w:p>
      <w:pPr>
        <w:spacing w:line="360" w:lineRule="auto" w:after="20"/>
      </w:pPr>
      <w:r>
        <w:t>E.财务报告和治理实践高度透明</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识别慈善机构和非营利组织被恐怖融资滥用的风险特征</w:t>
      </w:r>
    </w:p>
    <w:p>
      <w:pPr>
        <w:spacing w:line="360" w:lineRule="auto" w:after="40"/>
      </w:pPr>
      <w:r>
        <w:rPr>
          <w:b/>
          <w:shd w:fill="D6E4F0" w:val="clear"/>
        </w:rPr>
        <w:t>核心解析：</w:t>
      </w:r>
    </w:p>
    <w:p>
      <w:pPr>
        <w:spacing w:line="360" w:lineRule="auto" w:after="40"/>
      </w:pPr>
      <w:r>
        <w:t>教材明确指出，慈善机构和非政府组织可能获得来自</w:t>
      </w:r>
      <w:r>
        <w:rPr>
          <w:b/>
        </w:rPr>
        <w:t>未知或未披露来源的大量资金</w:t>
      </w:r>
      <w:r>
        <w:t>，并具有现金密集型特征；同时，这类组织往往在恐怖活动暴露区域附近开展活动，且可能处于</w:t>
      </w:r>
      <w:r>
        <w:rPr>
          <w:b/>
        </w:rPr>
        <w:t>监管很少或几乎没有监管的环境</w:t>
      </w:r>
      <w:r>
        <w:rPr>
          <w:sz w:val="15"/>
          <w:vertAlign w:val="superscript"/>
        </w:rPr>
        <w:t>P134</w:t>
      </w:r>
      <w:r>
        <w:t>。教材进一步说明，恐怖组织曾利用</w:t>
      </w:r>
      <w:r>
        <w:rPr>
          <w:b/>
        </w:rPr>
        <w:t>合法慈善机构和非政府组织为非法活动筹资</w:t>
      </w:r>
      <w:r>
        <w:rPr>
          <w:sz w:val="15"/>
          <w:vertAlign w:val="superscript"/>
        </w:rPr>
        <w:t>P135</w:t>
      </w:r>
      <w:r>
        <w:t>。因此，来自匿名来源的大额且无法说明来源的现金捐赠（B），以及在监管有限的高风险司法管辖区开展业务（C），均属于需要关注的潜在滥用迹象。</w:t>
      </w:r>
    </w:p>
    <w:p>
      <w:pPr>
        <w:spacing w:line="360" w:lineRule="auto" w:after="40"/>
      </w:pPr>
      <w:r>
        <w:rPr>
          <w:b/>
          <w:shd w:fill="D6E4F0" w:val="clear"/>
        </w:rPr>
        <w:t>教材原句：</w:t>
      </w:r>
    </w:p>
    <w:p>
      <w:pPr>
        <w:spacing w:line="360" w:lineRule="auto" w:after="40"/>
      </w:pPr>
      <w:r>
        <w:t>"Having access to considerable funds from unknown or undisclosed sources"；"Often being subject to little or no regulation or having few obstacles to their creation"</w:t>
      </w:r>
      <w:r>
        <w:rPr>
          <w:sz w:val="15"/>
          <w:vertAlign w:val="superscript"/>
        </w:rPr>
        <w:t>P134</w:t>
      </w:r>
      <w:r>
        <w:t>。</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教材说明慈善机构和非政府组织本来就承担多种服务和人道主义职能</w:t>
      </w:r>
      <w:r>
        <w:rPr>
          <w:sz w:val="15"/>
          <w:vertAlign w:val="superscript"/>
        </w:rPr>
        <w:t>P134</w:t>
      </w:r>
      <w:r>
        <w:t>。参与社区发展或人道主义援助本身属于正常使命，不能单独作为被恐怖融资滥用的迹象。</w:t>
      </w:r>
    </w:p>
    <w:p>
      <w:pPr>
        <w:spacing w:line="360" w:lineRule="auto" w:after="40"/>
      </w:pPr>
      <w:r>
        <w:rPr>
          <w:b/>
          <w:shd w:fill="D6E4F0" w:val="clear"/>
        </w:rPr>
        <w:t>D项错误：</w:t>
      </w:r>
    </w:p>
    <w:p>
      <w:pPr>
        <w:spacing w:line="360" w:lineRule="auto" w:after="40"/>
      </w:pPr>
      <w:r>
        <w:t>领导层或使命宣言频繁变化本身并不是该类组织被滥用的典型指标，不能仅凭组织变化推定恐怖融资风险。</w:t>
      </w:r>
    </w:p>
    <w:p>
      <w:pPr>
        <w:spacing w:line="360" w:lineRule="auto" w:after="40"/>
      </w:pPr>
      <w:r>
        <w:rPr>
          <w:b/>
          <w:shd w:fill="D6E4F0" w:val="clear"/>
        </w:rPr>
        <w:t>E项错误：</w:t>
      </w:r>
    </w:p>
    <w:p>
      <w:pPr>
        <w:spacing w:line="360" w:lineRule="auto" w:after="40"/>
      </w:pPr>
      <w:r>
        <w:t>高度透明的财务报告和治理实践有助于验证组织的持续合法性，风险方向与匿名资金、现金密集和监管薄弱相反。</w:t>
      </w:r>
    </w:p>
    <w:p>
      <w:pPr>
        <w:spacing w:line="360" w:lineRule="auto" w:after="40"/>
      </w:pPr>
      <w:r>
        <w:rPr>
          <w:b/>
          <w:shd w:fill="D6E4F0" w:val="clear"/>
        </w:rPr>
        <w:t>易错提醒：</w:t>
      </w:r>
    </w:p>
    <w:p>
      <w:pPr>
        <w:spacing w:line="360" w:lineRule="auto" w:after="40"/>
      </w:pPr>
      <w:r>
        <w:t>慈善或人道主义活动本身不是红旗信号</w:t>
      </w:r>
      <w:r>
        <w:rPr>
          <w:sz w:val="15"/>
          <w:vertAlign w:val="superscript"/>
        </w:rPr>
        <w:t>P134</w:t>
      </w:r>
      <w:r>
        <w:t>。应关注与正常公益使命叠加的资金和地域特征，例如未知来源的大额现金、恐怖活动暴露区域以及监管薄弱</w:t>
      </w:r>
      <w:r>
        <w:rPr>
          <w:sz w:val="15"/>
          <w:vertAlign w:val="superscript"/>
        </w:rPr>
        <w:t>P134-P135</w:t>
      </w:r>
      <w:r>
        <w:t>。</w:t>
      </w:r>
    </w:p>
    <w:p>
      <w:pPr>
        <w:spacing w:line="360" w:lineRule="auto" w:after="120"/>
      </w:pPr>
      <w:r/>
    </w:p>
    <w:p>
      <w:pPr>
        <w:spacing w:line="360" w:lineRule="auto" w:after="40"/>
      </w:pPr>
      <w:r>
        <w:t>9. 哪些危险信号可能表明与文化物品相关的恐怖主义融资和洗钱风险增加？（选择三项。）</w:t>
      </w:r>
    </w:p>
    <w:p>
      <w:pPr>
        <w:spacing w:line="360" w:lineRule="auto" w:after="20"/>
      </w:pPr>
      <w:r>
        <w:t>A.聘请第三方艺术顾问代表买方参加艺术品拍卖,但未披露实际买方或受益所有人。</w:t>
      </w:r>
    </w:p>
    <w:p>
      <w:pPr>
        <w:spacing w:line="360" w:lineRule="auto" w:after="20"/>
      </w:pPr>
      <w:r>
        <w:t>B.匿名账号在社交媒体平台以明显偏离市场价格销售高价值、高品质单件文化物品。</w:t>
      </w:r>
    </w:p>
    <w:p>
      <w:pPr>
        <w:spacing w:line="360" w:lineRule="auto" w:after="20"/>
      </w:pPr>
      <w:r>
        <w:t>C.利用艺术品和古董专家来鉴定物品的真伪。</w:t>
      </w:r>
    </w:p>
    <w:p>
      <w:pPr>
        <w:spacing w:line="360" w:lineRule="auto" w:after="20"/>
      </w:pPr>
      <w:r>
        <w:t>D.身份透明的买方在拍卖会上以经独立估值确认的公平市场价格购买有价值的艺术品、宝石或贵金属。</w:t>
      </w:r>
    </w:p>
    <w:p>
      <w:pPr>
        <w:spacing w:line="360" w:lineRule="auto" w:after="20"/>
      </w:pPr>
      <w:r>
        <w:t>E.使用位于免税区的艺术品存储设施。</w:t>
      </w:r>
    </w:p>
    <w:p>
      <w:pPr>
        <w:spacing w:line="360" w:lineRule="auto" w:after="40"/>
      </w:pPr>
      <w:r>
        <w:t>答案:A、B、E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识别文化物品洗钱中，利用匿名代理、非传统渠道与监管洼地的风险信号</w:t>
      </w:r>
    </w:p>
    <w:p>
      <w:pPr>
        <w:spacing w:line="360" w:lineRule="auto" w:after="40"/>
      </w:pPr>
      <w:r>
        <w:rPr>
          <w:b/>
          <w:shd w:fill="D6E4F0" w:val="clear"/>
        </w:rPr>
        <w:t>核心解析：</w:t>
      </w:r>
    </w:p>
    <w:p>
      <w:pPr>
        <w:spacing w:line="360" w:lineRule="auto" w:after="40"/>
      </w:pPr>
      <w:r>
        <w:t>文化物品相关风险来自</w:t>
      </w:r>
      <w:r>
        <w:rPr>
          <w:b/>
        </w:rPr>
        <w:t>高价值、易转移、难估值</w:t>
      </w:r>
      <w:r>
        <w:t>以及交易链条不透明等特征</w:t>
      </w:r>
      <w:r>
        <w:rPr>
          <w:sz w:val="15"/>
          <w:vertAlign w:val="superscript"/>
        </w:rPr>
        <w:t>P132-P133</w:t>
      </w:r>
      <w:r>
        <w:t>。A 将艺术顾问作为拍卖代表，属于中介或代理层；在艺术品交易中，这种第三方代表若使真实买方或受益所有人难以识别，就与名义服务形成的</w:t>
      </w:r>
      <w:r>
        <w:rPr>
          <w:b/>
        </w:rPr>
        <w:t>匿名风险</w:t>
      </w:r>
      <w:r>
        <w:t>相近</w:t>
      </w:r>
      <w:r>
        <w:rPr>
          <w:sz w:val="15"/>
          <w:vertAlign w:val="superscript"/>
        </w:rPr>
        <w:t>P127</w:t>
      </w:r>
      <w:r>
        <w:t>。B 同时出现匿名账号、社交媒体非传统渠道和价格明显偏离市场价值，直接对应身份隐藏与价格不一致风险</w:t>
      </w:r>
      <w:r>
        <w:rPr>
          <w:sz w:val="15"/>
          <w:vertAlign w:val="superscript"/>
        </w:rPr>
        <w:t>P99、P132</w:t>
      </w:r>
      <w:r>
        <w:t>。E 直接对应自由贸易区用于存储艺术品、古董和贵金属并可能成为被盗艺术品非法贸易平台的情形</w:t>
      </w:r>
      <w:r>
        <w:rPr>
          <w:sz w:val="15"/>
          <w:vertAlign w:val="superscript"/>
        </w:rPr>
        <w:t>P18</w:t>
      </w:r>
      <w:r>
        <w:t>。三项比 C、D 更直接地指向匿名代理、非传统销售渠道和监管薄弱环境。</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专家鉴定真伪通常增加交易透明度、降低假货和估值不确定性；题干没有给出专家与卖方串通、虚假鉴定或借鉴定掩盖来源等额外事实，因此单独不构成红旗。</w:t>
      </w:r>
    </w:p>
    <w:p>
      <w:pPr>
        <w:spacing w:line="360" w:lineRule="auto" w:after="40"/>
      </w:pPr>
      <w:r>
        <w:rPr>
          <w:b/>
          <w:shd w:fill="D6E4F0" w:val="clear"/>
        </w:rPr>
        <w:t>D项错误：</w:t>
      </w:r>
    </w:p>
    <w:p>
      <w:pPr>
        <w:spacing w:line="360" w:lineRule="auto" w:after="40"/>
      </w:pPr>
      <w:r>
        <w:t>教材将价格与公平市场价值不一致列为风险信号</w:t>
      </w:r>
      <w:r>
        <w:rPr>
          <w:sz w:val="15"/>
          <w:vertAlign w:val="superscript"/>
        </w:rPr>
        <w:t>P133</w:t>
      </w:r>
      <w:r>
        <w:t>；D 明确为身份透明买方按独立估值确认的公平市场价购买，题干没有给出价格偏离、身份隐藏或来源异常等事实，因此其风险指示性弱于 A、B、E。</w:t>
      </w:r>
    </w:p>
    <w:p>
      <w:pPr>
        <w:spacing w:line="360" w:lineRule="auto" w:after="40"/>
      </w:pPr>
      <w:r>
        <w:rPr>
          <w:b/>
          <w:shd w:fill="D6E4F0" w:val="clear"/>
        </w:rPr>
        <w:t>易错提醒：</w:t>
      </w:r>
    </w:p>
    <w:p>
      <w:pPr>
        <w:spacing w:line="360" w:lineRule="auto" w:after="40"/>
      </w:pPr>
      <w:r>
        <w:t>本题易混淆点为“利用专家鉴定真伪”与“利用第三方隐藏身份”。前者是正常的身份核实或价值确认，后者（如名义顾问）目的是制造匿名层</w:t>
      </w:r>
      <w:r>
        <w:rPr>
          <w:sz w:val="15"/>
          <w:vertAlign w:val="superscript"/>
        </w:rPr>
        <w:t>P127</w:t>
      </w:r>
      <w:r>
        <w:t>。区分关键在于该行为是增加透明度还是增加不透明性。</w:t>
      </w:r>
    </w:p>
    <w:p>
      <w:pPr>
        <w:spacing w:line="360" w:lineRule="auto" w:after="120"/>
      </w:pPr>
      <w:r/>
    </w:p>
    <w:p>
      <w:pPr>
        <w:spacing w:line="360" w:lineRule="auto" w:after="40"/>
      </w:pPr>
      <w:r>
        <w:t>10. 与使用哈瓦拉相关的金融犯罪风险可能源于：（选择两项。）</w:t>
      </w:r>
    </w:p>
    <w:p>
      <w:pPr>
        <w:spacing w:line="360" w:lineRule="auto" w:after="20"/>
      </w:pPr>
      <w:r>
        <w:t>A.由第三方程序管理人进行远程身份验证</w:t>
      </w:r>
    </w:p>
    <w:p>
      <w:pPr>
        <w:spacing w:line="360" w:lineRule="auto" w:after="20"/>
      </w:pPr>
      <w:r>
        <w:t>B.高级政治人物大量使用哈瓦拉</w:t>
      </w:r>
    </w:p>
    <w:p>
      <w:pPr>
        <w:spacing w:line="360" w:lineRule="auto" w:after="20"/>
      </w:pPr>
      <w:r>
        <w:t>C.交易被退回的风险增加</w:t>
      </w:r>
    </w:p>
    <w:p>
      <w:pPr>
        <w:spacing w:line="360" w:lineRule="auto" w:after="20"/>
      </w:pPr>
      <w:r>
        <w:t>D.用于跨境交易的非正式网络，这些交易游离于正规银行体系之外</w:t>
      </w:r>
    </w:p>
    <w:p>
      <w:pPr>
        <w:spacing w:line="360" w:lineRule="auto" w:after="20"/>
      </w:pPr>
      <w:r>
        <w:t>E.难以追踪交易的发起方、接收方以及来源</w:t>
      </w:r>
    </w:p>
    <w:p>
      <w:pPr>
        <w:spacing w:line="360" w:lineRule="auto" w:after="40"/>
      </w:pPr>
      <w:r>
        <w:t>答案:D、E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识别哈瓦拉作为非正规价值转移系统的核心风险特征</w:t>
      </w:r>
    </w:p>
    <w:p>
      <w:pPr>
        <w:spacing w:line="360" w:lineRule="auto" w:after="40"/>
      </w:pPr>
      <w:r>
        <w:rPr>
          <w:b/>
          <w:shd w:fill="D6E4F0" w:val="clear"/>
        </w:rPr>
        <w:t>核心解析：</w:t>
      </w:r>
    </w:p>
    <w:p>
      <w:pPr>
        <w:spacing w:line="360" w:lineRule="auto" w:after="40"/>
      </w:pPr>
      <w:r>
        <w:t>哈瓦拉是最知名的替代性汇款系统形式，被定义为</w:t>
      </w:r>
      <w:r>
        <w:rPr>
          <w:b/>
        </w:rPr>
        <w:t>“涉及在合法银行体系之外进行国际价值转移的非正式系统”</w:t>
      </w:r>
      <w:r>
        <w:rPr>
          <w:sz w:val="15"/>
          <w:vertAlign w:val="superscript"/>
        </w:rPr>
        <w:t>P133</w:t>
      </w:r>
      <w:r>
        <w:t>。该定义直接揭示了其两大核心风险来源：第一，它依赖</w:t>
      </w:r>
      <w:r>
        <w:rPr>
          <w:b/>
        </w:rPr>
        <w:t>非正式网络进行跨境交易</w:t>
      </w:r>
      <w:r>
        <w:t>，脱离正规银行监管框架，这与选项D完全吻合；第二，哈瓦拉作为</w:t>
      </w:r>
      <w:r>
        <w:rPr>
          <w:b/>
        </w:rPr>
        <w:t>不受监管的转账方式</w:t>
      </w:r>
      <w:r>
        <w:t>，其运作依赖于信任和匿名性</w:t>
      </w:r>
      <w:r>
        <w:rPr>
          <w:sz w:val="15"/>
          <w:vertAlign w:val="superscript"/>
        </w:rPr>
        <w:t>P134</w:t>
      </w:r>
      <w:r>
        <w:t>，交易不涉及银行或货币服务企业，不产生数字记录，因此</w:t>
      </w:r>
      <w:r>
        <w:rPr>
          <w:b/>
        </w:rPr>
        <w:t>难以追踪交易的发起方、接收方和资金来源</w:t>
      </w:r>
      <w:r>
        <w:t>，这与选项E完全吻合。题干问的是“与使用哈瓦拉相关的金融犯罪风险可能源于什么”，这两项正是从哈瓦拉的定义性特征中直接推导出的风险来源。</w:t>
      </w:r>
    </w:p>
    <w:p>
      <w:pPr>
        <w:spacing w:line="360" w:lineRule="auto" w:after="40"/>
      </w:pPr>
      <w:r>
        <w:rPr>
          <w:b/>
          <w:shd w:fill="D6E4F0" w:val="clear"/>
        </w:rPr>
        <w:t>教材原句：</w:t>
      </w:r>
    </w:p>
    <w:p>
      <w:pPr>
        <w:spacing w:line="360" w:lineRule="auto" w:after="40"/>
      </w:pPr>
      <w:r>
        <w:t>"The best-known form of ARS is a hawala, an informal system involving the international transfer of value outside the legitimate banking system."</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远程身份验证涉及数字开户和生物识别等监管技术应用场景</w:t>
      </w:r>
      <w:r>
        <w:rPr>
          <w:sz w:val="15"/>
          <w:vertAlign w:val="superscript"/>
        </w:rPr>
        <w:t>P372-P413</w:t>
      </w:r>
      <w:r>
        <w:t>，与哈瓦拉作为非正规价值转移系统分属完全不同的主题领域。哈瓦拉的核心特征是脱离正规系统和依赖人际信任，题干未涉及数字化客户准入，此项无关联要素。</w:t>
      </w:r>
    </w:p>
    <w:p>
      <w:pPr>
        <w:spacing w:line="360" w:lineRule="auto" w:after="40"/>
      </w:pPr>
      <w:r>
        <w:rPr>
          <w:b/>
          <w:shd w:fill="D6E4F0" w:val="clear"/>
        </w:rPr>
        <w:t>B项错误：</w:t>
      </w:r>
    </w:p>
    <w:p>
      <w:pPr>
        <w:spacing w:line="360" w:lineRule="auto" w:after="40"/>
      </w:pPr>
      <w:r>
        <w:t>政治敏感人物确实因接触公共资金而面临更高的贿赂和腐败风险</w:t>
      </w:r>
      <w:r>
        <w:rPr>
          <w:sz w:val="15"/>
          <w:vertAlign w:val="superscript"/>
        </w:rPr>
        <w:t>P320</w:t>
      </w:r>
      <w:r>
        <w:t>，但教材在阐述哈瓦拉的金融犯罪风险时，并未将“特定用户群体大量使用”列为风险来源，而是聚焦于哈瓦拉系统本身脱离监管和匿名化的结构特征。题干更直接指向哈瓦拉作为一种非正规机制的内在风险，而非某一类使用者的身份风险。</w:t>
      </w:r>
    </w:p>
    <w:p>
      <w:pPr>
        <w:spacing w:line="360" w:lineRule="auto" w:after="40"/>
      </w:pPr>
      <w:r>
        <w:rPr>
          <w:b/>
          <w:shd w:fill="D6E4F0" w:val="clear"/>
        </w:rPr>
        <w:t>C项错误：</w:t>
      </w:r>
    </w:p>
    <w:p>
      <w:pPr>
        <w:spacing w:line="360" w:lineRule="auto" w:after="40"/>
      </w:pPr>
      <w:r>
        <w:t>教材在讨论机构面临的金融犯罪风险类型时提到操作风险、法律风险、集中风险等</w:t>
      </w:r>
      <w:r>
        <w:rPr>
          <w:sz w:val="15"/>
          <w:vertAlign w:val="superscript"/>
        </w:rPr>
        <w:t>P46</w:t>
      </w:r>
      <w:r>
        <w:t>，但未将“交易退回风险增加”列为与哈瓦拉使用相关的风险。哈瓦拉的特征在于绕过正规渠道完成价值转移，而非交易退回。相比D和E直接源于哈瓦拉定义本身，此项缺乏教材支撑。</w:t>
      </w:r>
    </w:p>
    <w:p>
      <w:pPr>
        <w:spacing w:line="360" w:lineRule="auto" w:after="40"/>
      </w:pPr>
      <w:r>
        <w:rPr>
          <w:b/>
          <w:shd w:fill="D6E4F0" w:val="clear"/>
        </w:rPr>
        <w:t>易错提醒：</w:t>
      </w:r>
    </w:p>
    <w:p>
      <w:pPr>
        <w:spacing w:line="360" w:lineRule="auto" w:after="40"/>
      </w:pPr>
      <w:r>
        <w:t>容易混淆“谁在用哈瓦拉”和“哈瓦拉为什么有风险”。PEP使用哈瓦拉可能增加合规关注度，但教材对哈瓦拉金融犯罪风险的界定以系统本身的非正规架构和匿名性为核心，而非基于用户身份。换一道题，如果问的是“哪类用户使用哈瓦拉可能引发更高的反洗钱关注”，PEP才是更匹配的方向。</w:t>
      </w:r>
    </w:p>
    <w:p>
      <w:pPr>
        <w:spacing w:line="360" w:lineRule="auto" w:after="120"/>
      </w:pPr>
      <w:r/>
    </w:p>
    <w:p>
      <w:pPr>
        <w:spacing w:line="360" w:lineRule="auto" w:after="40"/>
      </w:pPr>
      <w:r>
        <w:t>11. 在金融犯罪中,博彩账户被滥用会带来哪些具体风险？（选择三项。）</w:t>
      </w:r>
    </w:p>
    <w:p>
      <w:pPr>
        <w:spacing w:line="360" w:lineRule="auto" w:after="20"/>
      </w:pPr>
      <w:r>
        <w:t>A.利用博彩账户在玩家之间转移非法资金而不被察觉</w:t>
      </w:r>
    </w:p>
    <w:p>
      <w:pPr>
        <w:spacing w:line="360" w:lineRule="auto" w:after="20"/>
      </w:pPr>
      <w:r>
        <w:t>B.通过将交易拆分至特定限额以下实施结构化交易,以规避报告门槛</w:t>
      </w:r>
    </w:p>
    <w:p>
      <w:pPr>
        <w:spacing w:line="360" w:lineRule="auto" w:after="20"/>
      </w:pPr>
      <w:r>
        <w:t>C.提供虚假个人信息以逃避监管审查</w:t>
      </w:r>
    </w:p>
    <w:p>
      <w:pPr>
        <w:spacing w:line="360" w:lineRule="auto" w:after="20"/>
      </w:pPr>
      <w:r>
        <w:t>D.确保在新客户准入前完成身份验证工作</w:t>
      </w:r>
    </w:p>
    <w:p>
      <w:pPr>
        <w:spacing w:line="360" w:lineRule="auto" w:after="20"/>
      </w:pPr>
      <w:r>
        <w:t>E.将所有博彩收益投入高风险股票以隐匿资金</w:t>
      </w:r>
    </w:p>
    <w:p>
      <w:pPr>
        <w:spacing w:line="360" w:lineRule="auto" w:after="40"/>
      </w:pPr>
      <w:r>
        <w:t>答案:A、B、C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识别博彩账户被滥用的</w:t>
      </w:r>
      <w:r>
        <w:rPr>
          <w:b/>
        </w:rPr>
        <w:t>价值转移、结构化和身份伪造风险</w:t>
      </w:r>
      <w:r>
        <w:t>。</w:t>
      </w:r>
    </w:p>
    <w:p>
      <w:pPr>
        <w:spacing w:line="360" w:lineRule="auto" w:after="40"/>
      </w:pPr>
      <w:r>
        <w:rPr>
          <w:b/>
          <w:shd w:fill="D6E4F0" w:val="clear"/>
        </w:rPr>
        <w:t>核心解析：</w:t>
      </w:r>
    </w:p>
    <w:p>
      <w:pPr>
        <w:spacing w:line="360" w:lineRule="auto" w:after="40"/>
      </w:pPr>
      <w:r>
        <w:t>博彩账户可能被用于</w:t>
      </w:r>
      <w:r>
        <w:rPr>
          <w:b/>
        </w:rPr>
        <w:t>玩家之间转移价值或故意输赢</w:t>
      </w:r>
      <w:r>
        <w:t>，对应A；博彩活动也可能通过第三方和多笔交易把金额控制在报告门槛以下，对应B；在线运营商还可能遭遇伪造文件或虚假身份开设多个账户，对应C</w:t>
      </w:r>
      <w:r>
        <w:rPr>
          <w:sz w:val="15"/>
          <w:vertAlign w:val="superscript"/>
        </w:rPr>
        <w:t>P120-P121</w:t>
      </w:r>
      <w:r>
        <w:t>。三项都是账户被滥用的风险，而不是控制措施。</w:t>
      </w:r>
    </w:p>
    <w:p>
      <w:pPr>
        <w:spacing w:line="360" w:lineRule="auto" w:after="40"/>
      </w:pPr>
      <w:r>
        <w:rPr>
          <w:b/>
          <w:shd w:fill="D6E4F0" w:val="clear"/>
        </w:rPr>
        <w:t>错误项分析：</w:t>
      </w:r>
    </w:p>
    <w:p>
      <w:pPr>
        <w:spacing w:line="360" w:lineRule="auto" w:after="40"/>
      </w:pPr>
      <w:r>
        <w:rPr>
          <w:b/>
          <w:shd w:fill="D6E4F0" w:val="clear"/>
        </w:rPr>
        <w:t>D项错误：</w:t>
      </w:r>
    </w:p>
    <w:p>
      <w:pPr>
        <w:spacing w:line="360" w:lineRule="auto" w:after="40"/>
      </w:pPr>
      <w:r>
        <w:t>开户前身份验证是缓释风险的控制措施，不是风险本身。</w:t>
      </w:r>
    </w:p>
    <w:p>
      <w:pPr>
        <w:spacing w:line="360" w:lineRule="auto" w:after="40"/>
      </w:pPr>
      <w:r>
        <w:rPr>
          <w:b/>
          <w:shd w:fill="D6E4F0" w:val="clear"/>
        </w:rPr>
        <w:t>E项错误：</w:t>
      </w:r>
    </w:p>
    <w:p>
      <w:pPr>
        <w:spacing w:line="360" w:lineRule="auto" w:after="40"/>
      </w:pPr>
      <w:r>
        <w:t>将收益投资于股票属于资金离开博彩账户后的后续分层手段，不是博彩账户特有的滥用方式。</w:t>
      </w:r>
    </w:p>
    <w:p>
      <w:pPr>
        <w:spacing w:line="360" w:lineRule="auto" w:after="40"/>
      </w:pPr>
      <w:r>
        <w:rPr>
          <w:b/>
          <w:shd w:fill="D6E4F0" w:val="clear"/>
        </w:rPr>
        <w:t>易错提醒：</w:t>
      </w:r>
    </w:p>
    <w:p>
      <w:pPr>
        <w:spacing w:line="360" w:lineRule="auto" w:after="40"/>
      </w:pPr>
      <w:r>
        <w:t>题目问“风险”时，寻找</w:t>
      </w:r>
      <w:r>
        <w:rPr>
          <w:b/>
        </w:rPr>
        <w:t>犯罪分子利用账户做什么</w:t>
      </w:r>
      <w:r>
        <w:rPr>
          <w:sz w:val="15"/>
          <w:vertAlign w:val="superscript"/>
        </w:rPr>
        <w:t>P120-P121</w:t>
      </w:r>
      <w:r>
        <w:t>；身份验证属于机构如何防范，方向相反。</w:t>
      </w:r>
    </w:p>
    <w:p>
      <w:pPr>
        <w:spacing w:line="360" w:lineRule="auto" w:after="120"/>
      </w:pPr>
      <w:r/>
    </w:p>
    <w:p>
      <w:pPr>
        <w:spacing w:line="360" w:lineRule="auto" w:after="40"/>
      </w:pPr>
      <w:r>
        <w:t>12. 与使用“哈瓦拉”相关的金融犯罪风险可能源于：（选择两项。）</w:t>
      </w:r>
    </w:p>
    <w:p>
      <w:pPr>
        <w:spacing w:line="360" w:lineRule="auto" w:after="20"/>
      </w:pPr>
      <w:r>
        <w:t>A.难以追踪交易的发起方、接收方和资金来源</w:t>
      </w:r>
    </w:p>
    <w:p>
      <w:pPr>
        <w:spacing w:line="360" w:lineRule="auto" w:after="20"/>
      </w:pPr>
      <w:r>
        <w:t>B.由第三方程序管理员进行远程身份验证</w:t>
      </w:r>
    </w:p>
    <w:p>
      <w:pPr>
        <w:spacing w:line="360" w:lineRule="auto" w:after="20"/>
      </w:pPr>
      <w:r>
        <w:t>C.高级政治人物的频繁使用</w:t>
      </w:r>
    </w:p>
    <w:p>
      <w:pPr>
        <w:spacing w:line="360" w:lineRule="auto" w:after="20"/>
      </w:pPr>
      <w:r>
        <w:t>D.用于跨境交易的非正式网络，这些交易游离于正规银行体系之外</w:t>
      </w:r>
    </w:p>
    <w:p>
      <w:pPr>
        <w:spacing w:line="360" w:lineRule="auto" w:after="20"/>
      </w:pPr>
      <w:r>
        <w:t>E.交易被退回的风险增加</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哈瓦拉的核心风险特征：匿名性与游离于正规银行体系外</w:t>
      </w:r>
    </w:p>
    <w:p>
      <w:pPr>
        <w:spacing w:line="360" w:lineRule="auto" w:after="40"/>
      </w:pPr>
      <w:r>
        <w:rPr>
          <w:b/>
          <w:shd w:fill="D6E4F0" w:val="clear"/>
        </w:rPr>
        <w:t>核心解析：</w:t>
      </w:r>
    </w:p>
    <w:p>
      <w:pPr>
        <w:spacing w:line="360" w:lineRule="auto" w:after="40"/>
      </w:pPr>
      <w:r>
        <w:t>哈瓦拉是最知名的替代性汇款系统（ARS）形式，指在正规银行体系之外进行国际价值转移的</w:t>
      </w:r>
      <w:r>
        <w:rPr>
          <w:b/>
        </w:rPr>
        <w:t>非正式系统</w:t>
      </w:r>
      <w:r>
        <w:rPr>
          <w:sz w:val="15"/>
          <w:vertAlign w:val="superscript"/>
        </w:rPr>
        <w:t>P133</w:t>
      </w:r>
      <w:r>
        <w:t>。其运行依赖</w:t>
      </w:r>
      <w:r>
        <w:rPr>
          <w:b/>
        </w:rPr>
        <w:t>信任和匿名性</w:t>
      </w:r>
      <w:r>
        <w:t>，不通过银行或货币服务企业完成价值跨境转移与货币兑换</w:t>
      </w:r>
      <w:r>
        <w:rPr>
          <w:sz w:val="15"/>
          <w:vertAlign w:val="superscript"/>
        </w:rPr>
        <w:t>P133-P134</w:t>
      </w:r>
      <w:r>
        <w:t>。题干问哈瓦拉相关的金融犯罪风险源于什么——A项“难以追踪交易的发起方、接收方和资金来源”直接对应哈瓦拉的匿名性特征，教材指出恐怖融资者利用ARS提供的信任和匿名性转移资金</w:t>
      </w:r>
      <w:r>
        <w:rPr>
          <w:sz w:val="15"/>
          <w:vertAlign w:val="superscript"/>
        </w:rPr>
        <w:t>P134</w:t>
      </w:r>
      <w:r>
        <w:t>，且哈瓦拉经纪人通过非正规网络掩盖资金踪迹</w:t>
      </w:r>
      <w:r>
        <w:rPr>
          <w:sz w:val="15"/>
          <w:vertAlign w:val="superscript"/>
        </w:rPr>
        <w:t>P39</w:t>
      </w:r>
      <w:r>
        <w:t>。D项“用于跨境交易的非正式网络，游离于正规银行体系之外”则本身就是教材对哈瓦拉的定义</w:t>
      </w:r>
      <w:r>
        <w:rPr>
          <w:sz w:val="15"/>
          <w:vertAlign w:val="superscript"/>
        </w:rPr>
        <w:t>P133</w:t>
      </w:r>
      <w:r>
        <w:t>，是哈瓦拉的根本属性。这两项共同构成哈瓦拉作为金融犯罪风险来源的核心逻辑：</w:t>
      </w:r>
      <w:r>
        <w:rPr>
          <w:b/>
        </w:rPr>
        <w:t>非正规、无银行中介、匿名、难以追踪</w:t>
      </w:r>
      <w:r>
        <w:t>。</w:t>
      </w:r>
    </w:p>
    <w:p>
      <w:pPr>
        <w:spacing w:line="360" w:lineRule="auto" w:after="40"/>
      </w:pPr>
      <w:r>
        <w:rPr>
          <w:b/>
          <w:shd w:fill="D6E4F0" w:val="clear"/>
        </w:rPr>
        <w:t>教材原句：</w:t>
      </w:r>
    </w:p>
    <w:p>
      <w:pPr>
        <w:spacing w:line="360" w:lineRule="auto" w:after="40"/>
      </w:pPr>
      <w:r>
        <w:t>"The best-known form of ARS is a hawala, an informal system involving the international transfer of value outside the legitimate banking system."</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“远程身份验证”是电子了解你的客户（eKYC）领域的概念，指通过数字流程替代传统纸质方法实现远程身份确认</w:t>
      </w:r>
      <w:r>
        <w:rPr>
          <w:sz w:val="15"/>
          <w:vertAlign w:val="superscript"/>
        </w:rPr>
        <w:t>P405</w:t>
      </w:r>
      <w:r>
        <w:t>，与零售银行远程开户场景相关</w:t>
      </w:r>
      <w:r>
        <w:rPr>
          <w:sz w:val="15"/>
          <w:vertAlign w:val="superscript"/>
        </w:rPr>
        <w:t>P64</w:t>
      </w:r>
      <w:r>
        <w:t>。题干问的是哈瓦拉这种替代性汇款系统的金融犯罪风险，eKYC属于合规科技手段而非非正规资金转移渠道，两者在教材中处于完全不同的业务框架。</w:t>
      </w:r>
    </w:p>
    <w:p>
      <w:pPr>
        <w:spacing w:line="360" w:lineRule="auto" w:after="40"/>
      </w:pPr>
      <w:r>
        <w:rPr>
          <w:b/>
          <w:shd w:fill="D6E4F0" w:val="clear"/>
        </w:rPr>
        <w:t>C项错误：</w:t>
      </w:r>
    </w:p>
    <w:p>
      <w:pPr>
        <w:spacing w:line="360" w:lineRule="auto" w:after="40"/>
      </w:pPr>
      <w:r>
        <w:t>政治敏感人物（PEPs）确实面临更高的贿赂与腐败风险</w:t>
      </w:r>
      <w:r>
        <w:rPr>
          <w:sz w:val="15"/>
          <w:vertAlign w:val="superscript"/>
        </w:rPr>
        <w:t>P320</w:t>
      </w:r>
      <w:r>
        <w:t>，但教材在分析哈瓦拉的使用群体时，明确指出其流行于缺乏银行渠道的边缘化社区以及不希望留下交易数字记录的个人</w:t>
      </w:r>
      <w:r>
        <w:rPr>
          <w:sz w:val="15"/>
          <w:vertAlign w:val="superscript"/>
        </w:rPr>
        <w:t>P134</w:t>
      </w:r>
      <w:r>
        <w:t>，并未将PEPs列为哈瓦拉的典型使用者。题干条件更直接匹配的是匿名性和非正规体系，而非某一特定身份群体的使用频率。</w:t>
      </w:r>
    </w:p>
    <w:p>
      <w:pPr>
        <w:spacing w:line="360" w:lineRule="auto" w:after="40"/>
      </w:pPr>
      <w:r>
        <w:rPr>
          <w:b/>
          <w:shd w:fill="D6E4F0" w:val="clear"/>
        </w:rPr>
        <w:t>E项错误：</w:t>
      </w:r>
    </w:p>
    <w:p>
      <w:pPr>
        <w:spacing w:line="360" w:lineRule="auto" w:after="40"/>
      </w:pPr>
      <w:r>
        <w:t>教材在讨论哈瓦拉及相关替代性汇款系统时，未曾提及“交易被退回”这一风险维度。哈瓦拉的机制是基于经纪人之间的债务安排进行等额货币转移</w:t>
      </w:r>
      <w:r>
        <w:rPr>
          <w:sz w:val="15"/>
          <w:vertAlign w:val="superscript"/>
        </w:rPr>
        <w:t>P133</w:t>
      </w:r>
      <w:r>
        <w:t>，其风险集中在匿名性、缺乏监管和资金踪迹模糊，而非交易退回风险——该概念在教材中更多与制裁筛查、支付拦截等场景相关</w:t>
      </w:r>
      <w:r>
        <w:rPr>
          <w:sz w:val="15"/>
          <w:vertAlign w:val="superscript"/>
        </w:rPr>
        <w:t>P306-P307</w:t>
      </w:r>
      <w:r>
        <w:t>，与哈瓦拉无直接关联。</w:t>
      </w:r>
    </w:p>
    <w:p>
      <w:pPr>
        <w:spacing w:line="360" w:lineRule="auto" w:after="120"/>
      </w:pPr>
      <w:r/>
    </w:p>
    <w:p>
      <w:pPr>
        <w:spacing w:line="360" w:lineRule="auto" w:after="40"/>
      </w:pPr>
      <w:r>
        <w:t>13. 以下哪些情况会导致政治公众人物(PEP)比一般高风险银行客户带来更大的风险？（选择两项。）</w:t>
      </w:r>
    </w:p>
    <w:p>
      <w:pPr>
        <w:spacing w:line="360" w:lineRule="auto" w:after="20"/>
      </w:pPr>
      <w:r>
        <w:t>A.政治公众人物的家庭成员和密切关系人可能会参与非法活动.</w:t>
      </w:r>
    </w:p>
    <w:p>
      <w:pPr>
        <w:spacing w:line="360" w:lineRule="auto" w:after="20"/>
      </w:pPr>
      <w:r>
        <w:t>B.根据国际银行业规定,政治公众人物可获得无限制的信贷和金融豁免.</w:t>
      </w:r>
    </w:p>
    <w:p>
      <w:pPr>
        <w:spacing w:line="360" w:lineRule="auto" w:after="20"/>
      </w:pPr>
      <w:r>
        <w:t>C.政治公众人物可能会利用使馆活动来掩盖贿赂和腐败交易.</w:t>
      </w:r>
    </w:p>
    <w:p>
      <w:pPr>
        <w:spacing w:line="360" w:lineRule="auto" w:after="20"/>
      </w:pPr>
      <w:r>
        <w:t>D.即使资金来源不合法，其账户也不会因超出银行风险承受能力的活动而被合法关闭.</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PEP近亲属风险</w:t>
      </w:r>
      <w:r>
        <w:t>及利用</w:t>
      </w:r>
      <w:r>
        <w:rPr>
          <w:b/>
        </w:rPr>
        <w:t>使馆活动</w:t>
      </w:r>
      <w:r>
        <w:t>掩盖</w:t>
      </w:r>
      <w:r>
        <w:rPr>
          <w:b/>
        </w:rPr>
        <w:t>贿赂腐败</w:t>
      </w:r>
      <w:r>
        <w:t>的风险</w:t>
      </w:r>
    </w:p>
    <w:p>
      <w:pPr>
        <w:spacing w:line="360" w:lineRule="auto" w:after="40"/>
      </w:pPr>
      <w:r>
        <w:rPr>
          <w:b/>
          <w:shd w:fill="D6E4F0" w:val="clear"/>
        </w:rPr>
        <w:t>核心解析：</w:t>
      </w:r>
    </w:p>
    <w:p>
      <w:pPr>
        <w:spacing w:line="360" w:lineRule="auto" w:after="40"/>
      </w:pPr>
      <w:r>
        <w:t>PEP指担任显要公职的个人及其</w:t>
      </w:r>
      <w:r>
        <w:rPr>
          <w:b/>
        </w:rPr>
        <w:t>直系亲属或密切关联人</w:t>
      </w:r>
      <w:r>
        <w:t>，可能面临更高的贿赂和腐败风险</w:t>
      </w:r>
      <w:r>
        <w:rPr>
          <w:sz w:val="15"/>
          <w:vertAlign w:val="superscript"/>
        </w:rPr>
        <w:t>P137</w:t>
      </w:r>
      <w:r>
        <w:t>。题干问哪些条件导致PEP比一般高风险客户风险更大：</w:t>
      </w:r>
      <w:r>
        <w:rPr>
          <w:b/>
        </w:rPr>
        <w:t>家庭成员和密切关系人</w:t>
      </w:r>
      <w:r>
        <w:t>本身就是PEP定义的组成部分，其可能参与非法活动，天然扩大了受威胁的范围（A正确）。另一方面，使馆相关政府关系因涉及个人通常被归为PEP而给银行带来不同程度的风险，且通过个人账户开展使馆官方业务会引发</w:t>
      </w:r>
      <w:r>
        <w:rPr>
          <w:b/>
        </w:rPr>
        <w:t>交易透明度和合法性问题</w:t>
      </w:r>
      <w:r>
        <w:t>，容易被用来掩盖贿赂和腐败交易，这构成了PEP特有的额外风险通道（C正确）</w:t>
      </w:r>
      <w:r>
        <w:rPr>
          <w:sz w:val="15"/>
          <w:vertAlign w:val="superscript"/>
        </w:rPr>
        <w:t>P138</w:t>
      </w:r>
      <w:r>
        <w:t>。</w:t>
      </w:r>
    </w:p>
    <w:p>
      <w:pPr>
        <w:spacing w:line="360" w:lineRule="auto" w:after="40"/>
      </w:pPr>
      <w:r>
        <w:rPr>
          <w:b/>
          <w:shd w:fill="D6E4F0" w:val="clear"/>
        </w:rPr>
        <w:t>教材原句：</w:t>
      </w:r>
    </w:p>
    <w:p>
      <w:pPr>
        <w:spacing w:line="360" w:lineRule="auto" w:after="40"/>
      </w:pPr>
      <w:r>
        <w:t>"A PEP is an individual in a prominent political function, or their immediate family or close associates, who could be at higher risk for involvement in bribery and corruption."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外国PEP应被视为高风险并接受强化尽职调查</w:t>
      </w:r>
      <w:r>
        <w:rPr>
          <w:sz w:val="15"/>
          <w:vertAlign w:val="superscript"/>
        </w:rPr>
        <w:t>P137</w:t>
      </w:r>
      <w:r>
        <w:t>，而不是享有无限信贷或金融豁免。B把更严格的风险管理要求误写成特殊金融待遇。</w:t>
      </w:r>
    </w:p>
    <w:p>
      <w:pPr>
        <w:spacing w:line="360" w:lineRule="auto" w:after="40"/>
      </w:pPr>
      <w:r>
        <w:rPr>
          <w:b/>
          <w:shd w:fill="D6E4F0" w:val="clear"/>
        </w:rPr>
        <w:t>D项错误：</w:t>
      </w:r>
    </w:p>
    <w:p>
      <w:pPr>
        <w:spacing w:line="360" w:lineRule="auto" w:after="40"/>
      </w:pPr>
      <w:r>
        <w:t>账户终止程序与PEP是否带来额外风险是两个问题。PEP账户并不因其身份获得免于合法关闭的特权；银行仍可根据风险承受能力、资金来源和客户活动采取控制或终止关系，因此D不能解释PEP风险为何更高。</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