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CH05</w:t>
      </w:r>
    </w:p>
    <w:p>
      <w:pPr>
        <w:spacing w:line="360" w:lineRule="auto" w:after="160"/>
      </w:pPr>
      <w:r>
        <w:t>一、单项选择题</w:t>
      </w:r>
    </w:p>
    <w:p>
      <w:pPr>
        <w:spacing w:line="360" w:lineRule="auto" w:after="40"/>
      </w:pPr>
      <w:r>
        <w:t>1. 沃尔夫斯堡集团关于私人银行业务的反洗钱原则包括以下哪项内容？</w:t>
      </w:r>
    </w:p>
    <w:p>
      <w:pPr>
        <w:spacing w:line="360" w:lineRule="auto" w:after="20"/>
      </w:pPr>
      <w:r>
        <w:t>A.协助在数据隐私标准较高的司法管辖区开展业务的金融机构与易受洗钱影响的行业合作</w:t>
      </w:r>
    </w:p>
    <w:p>
      <w:pPr>
        <w:spacing w:line="360" w:lineRule="auto" w:after="20"/>
      </w:pPr>
      <w:r>
        <w:t>B.建议银行只接受资金来源和受益所有权已了解的客户</w:t>
      </w:r>
    </w:p>
    <w:p>
      <w:pPr>
        <w:spacing w:line="360" w:lineRule="auto" w:after="20"/>
      </w:pPr>
      <w:r>
        <w:t>C.为私人银行家制定有关如何处理政治公众人物（PEP）和来自高风险国家人士的规则</w:t>
      </w:r>
    </w:p>
    <w:p>
      <w:pPr>
        <w:spacing w:line="360" w:lineRule="auto" w:after="20"/>
      </w:pPr>
      <w:r>
        <w:t>D.要求银行更好地管理声誉风险并保护富裕客户的隐私</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沃尔夫斯堡集团私人银行原则要求了解客户的资金来源和受益所有权</w:t>
      </w:r>
    </w:p>
    <w:p>
      <w:pPr>
        <w:spacing w:line="360" w:lineRule="auto" w:after="40"/>
      </w:pPr>
      <w:r>
        <w:rPr>
          <w:b/>
          <w:shd w:fill="D6E4F0" w:val="clear"/>
        </w:rPr>
        <w:t>核心解析：</w:t>
      </w:r>
    </w:p>
    <w:p>
      <w:pPr>
        <w:spacing w:line="360" w:lineRule="auto" w:after="40"/>
      </w:pPr>
      <w:r>
        <w:t>沃尔夫斯堡集团的私人银行原则强调，银行应充分了解客户，包括客户的</w:t>
      </w:r>
      <w:r>
        <w:rPr>
          <w:b/>
        </w:rPr>
        <w:t>资金或财富来源</w:t>
      </w:r>
      <w:r>
        <w:t>以及</w:t>
      </w:r>
      <w:r>
        <w:rPr>
          <w:b/>
        </w:rPr>
        <w:t>受益所有权</w:t>
      </w:r>
      <w:r>
        <w:t>。教材指出，银行应调查并记录客户如何获得财富</w:t>
      </w:r>
      <w:r>
        <w:rPr>
          <w:sz w:val="15"/>
          <w:vertAlign w:val="superscript"/>
        </w:rPr>
        <w:t>P169</w:t>
      </w:r>
      <w:r>
        <w:t>，这与选项B所述“只接受资金来源和受益所有权已得到了解的客户”最直接对应。选项C提到PEP和高风险国家人士，虽然与私人银行风险管理有关，但教材使用的是PEP、离岸实体和高风险客户等概念，不能把离岸实体或所有高风险客户简单等同于来自高风险国家的人士。因此，在给定选项中，B更符合沃尔夫斯堡私人银行原则的客户准入与尽职调查要求。</w:t>
      </w:r>
    </w:p>
    <w:p>
      <w:pPr>
        <w:spacing w:line="360" w:lineRule="auto" w:after="40"/>
      </w:pPr>
      <w:r>
        <w:rPr>
          <w:b/>
          <w:shd w:fill="D6E4F0" w:val="clear"/>
        </w:rPr>
        <w:t>教材原句：</w:t>
      </w:r>
    </w:p>
    <w:p>
      <w:pPr>
        <w:spacing w:line="360" w:lineRule="auto" w:after="40"/>
      </w:pPr>
      <w:r>
        <w:t>"Source of wealth and funds: Banks should investigate and document how clients acquired their wealth."</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选项A描述数据隐私标准较高司法管辖区中的行业合作，并非沃尔夫斯堡私人银行原则关于客户准入和尽职调查的核心内容。</w:t>
      </w:r>
    </w:p>
    <w:p>
      <w:pPr>
        <w:spacing w:line="360" w:lineRule="auto" w:after="40"/>
      </w:pPr>
      <w:r>
        <w:rPr>
          <w:b/>
          <w:shd w:fill="D6E4F0" w:val="clear"/>
        </w:rPr>
        <w:t>C项错误：</w:t>
      </w:r>
    </w:p>
    <w:p>
      <w:pPr>
        <w:spacing w:line="360" w:lineRule="auto" w:after="40"/>
      </w:pPr>
      <w:r>
        <w:t>沃尔夫斯堡原则确实关注PEP、离岸实体和高风险客户，但“来自高风险国家人士”不能完整替代这些概念。相比之下，B对资金来源和受益所有权的要求更直接对应私人银行原则。</w:t>
      </w:r>
    </w:p>
    <w:p>
      <w:pPr>
        <w:spacing w:line="360" w:lineRule="auto" w:after="40"/>
      </w:pPr>
      <w:r>
        <w:rPr>
          <w:b/>
          <w:shd w:fill="D6E4F0" w:val="clear"/>
        </w:rPr>
        <w:t>D项错误：</w:t>
      </w:r>
    </w:p>
    <w:p>
      <w:pPr>
        <w:spacing w:line="360" w:lineRule="auto" w:after="40"/>
      </w:pPr>
      <w:r>
        <w:t>沃尔夫斯堡集团发布的指引旨在协助成员管理金融犯罪风险，保护其业务免受犯罪滥用</w:t>
      </w:r>
      <w:r>
        <w:rPr>
          <w:sz w:val="15"/>
          <w:vertAlign w:val="superscript"/>
        </w:rPr>
        <w:t>P168</w:t>
      </w:r>
      <w:r>
        <w:t>，而不是以保护富裕客户隐私为核心目标。因此，D不如B符合私人银行原则的客户了解要求。</w:t>
      </w:r>
    </w:p>
    <w:p>
      <w:pPr>
        <w:spacing w:line="360" w:lineRule="auto" w:after="40"/>
      </w:pPr>
      <w:r>
        <w:rPr>
          <w:b/>
          <w:shd w:fill="D6E4F0" w:val="clear"/>
        </w:rPr>
        <w:t>易错提醒：</w:t>
      </w:r>
    </w:p>
    <w:p>
      <w:pPr>
        <w:spacing w:line="360" w:lineRule="auto" w:after="40"/>
      </w:pPr>
      <w:r>
        <w:t>本题容易在B和C之间犹豫。C涉及PEP和高风险因素，但把离岸实体、高风险客户概括成“来自高风险国家人士”并不准确；B则直接落实了私人银行原则对资金来源和受益所有权透明度的要求，因此更符合题意。</w:t>
      </w:r>
    </w:p>
    <w:p>
      <w:pPr>
        <w:spacing w:line="360" w:lineRule="auto" w:after="120"/>
      </w:pPr>
      <w:r/>
    </w:p>
    <w:p>
      <w:pPr>
        <w:spacing w:line="360" w:lineRule="auto" w:after="40"/>
      </w:pPr>
      <w:r>
        <w:t>2. 基于沃尔夫斯堡集团阐述的反洗钱原则，私人银行和代理银行在监测恐怖融资方面有哪些共同之处？</w:t>
      </w:r>
    </w:p>
    <w:p>
      <w:pPr>
        <w:spacing w:line="360" w:lineRule="auto" w:after="20"/>
      </w:pPr>
      <w:r>
        <w:t>A.预付卡提供现金提取功能，会增加该卡被用于洗钱的可能性</w:t>
      </w:r>
    </w:p>
    <w:p>
      <w:pPr>
        <w:spacing w:line="360" w:lineRule="auto" w:after="20"/>
      </w:pPr>
      <w:r>
        <w:t>B.交易监控会审查尽职调查信息与账户关闭之间的关系</w:t>
      </w:r>
    </w:p>
    <w:p>
      <w:pPr>
        <w:spacing w:line="360" w:lineRule="auto" w:after="20"/>
      </w:pPr>
      <w:r>
        <w:t>C.在对客户进行适当的身份识别和验证之后，将对其账户和交易活动进行监控</w:t>
      </w:r>
    </w:p>
    <w:p>
      <w:pPr>
        <w:spacing w:line="360" w:lineRule="auto" w:after="20"/>
      </w:pPr>
      <w:r>
        <w:t>D.只有在银行确认客户及受益所有人的身份后，才会接受编号账户或化名账户</w:t>
      </w:r>
    </w:p>
    <w:p>
      <w:pPr>
        <w:spacing w:line="360" w:lineRule="auto" w:after="40"/>
      </w:pPr>
      <w:r>
        <w:t>答案:C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理解客户身份识别是交易监控的前提这一核心流程</w:t>
      </w:r>
    </w:p>
    <w:p>
      <w:pPr>
        <w:spacing w:line="360" w:lineRule="auto" w:after="40"/>
      </w:pPr>
      <w:r>
        <w:rPr>
          <w:b/>
          <w:shd w:fill="D6E4F0" w:val="clear"/>
        </w:rPr>
        <w:t>核心解析：</w:t>
      </w:r>
    </w:p>
    <w:p>
      <w:pPr>
        <w:spacing w:line="360" w:lineRule="auto" w:after="40"/>
      </w:pPr>
      <w:r>
        <w:t>沃尔夫斯堡集团的金融犯罪防控指引同时强调两个相互衔接的环节：银行应</w:t>
      </w:r>
      <w:r>
        <w:rPr>
          <w:b/>
        </w:rPr>
        <w:t>核实客户身份并评估其风险状况</w:t>
      </w:r>
      <w:r>
        <w:rPr>
          <w:sz w:val="15"/>
          <w:vertAlign w:val="superscript"/>
        </w:rPr>
        <w:t>P168</w:t>
      </w:r>
      <w:r>
        <w:t>，还应</w:t>
      </w:r>
      <w:r>
        <w:rPr>
          <w:b/>
        </w:rPr>
        <w:t>持续审查交易以发现可疑活动</w:t>
      </w:r>
      <w:r>
        <w:rPr>
          <w:sz w:val="15"/>
          <w:vertAlign w:val="superscript"/>
        </w:rPr>
        <w:t>P169</w:t>
      </w:r>
      <w:r>
        <w:t>。教材另指出，交易监控在客户准入后开始</w:t>
      </w:r>
      <w:r>
        <w:rPr>
          <w:sz w:val="15"/>
          <w:vertAlign w:val="superscript"/>
        </w:rPr>
        <w:t>P329</w:t>
      </w:r>
      <w:r>
        <w:t>。选项C将这两个环节准确连接起来，即先适当识别和验证客户，再持续监控其账户和交易活动。这一流程同时适用于私人银行和代理银行，因此C是两类银行在监测恐怖融资方面的共同点。</w:t>
      </w:r>
    </w:p>
    <w:p>
      <w:pPr>
        <w:spacing w:line="360" w:lineRule="auto" w:after="40"/>
      </w:pPr>
      <w:r>
        <w:rPr>
          <w:b/>
          <w:shd w:fill="D6E4F0" w:val="clear"/>
        </w:rPr>
        <w:t>教材原句：</w:t>
      </w:r>
    </w:p>
    <w:p>
      <w:pPr>
        <w:spacing w:line="360" w:lineRule="auto" w:after="40"/>
      </w:pPr>
      <w:r>
        <w:t>"KYC: Banks should verify client identities and assess their risk profiles."；"Ongoing monitoring: Banks should conduct continuous reviews of transactions to detect suspicious activities."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A描述的是预付卡现金提取带来的产品风险，没有说明私人银行和代理银行在客户识别及交易监控方面的共同做法，与题干所问的业务主体和监控流程不匹配。</w:t>
      </w:r>
    </w:p>
    <w:p>
      <w:pPr>
        <w:spacing w:line="360" w:lineRule="auto" w:after="40"/>
      </w:pPr>
      <w:r>
        <w:rPr>
          <w:b/>
          <w:shd w:fill="D6E4F0" w:val="clear"/>
        </w:rPr>
        <w:t>B项错误：</w:t>
      </w:r>
    </w:p>
    <w:p>
      <w:pPr>
        <w:spacing w:line="360" w:lineRule="auto" w:after="40"/>
      </w:pPr>
      <w:r>
        <w:t>沃尔夫斯堡指引将持续监控的目的表述为审查交易并发现可疑活动</w:t>
      </w:r>
      <w:r>
        <w:rPr>
          <w:sz w:val="15"/>
          <w:vertAlign w:val="superscript"/>
        </w:rPr>
        <w:t>P169</w:t>
      </w:r>
      <w:r>
        <w:t>，而不是审查尽职调查信息与账户关闭之间的关系。B没有准确描述交易监控的职能。</w:t>
      </w:r>
    </w:p>
    <w:p>
      <w:pPr>
        <w:spacing w:line="360" w:lineRule="auto" w:after="40"/>
      </w:pPr>
      <w:r>
        <w:rPr>
          <w:b/>
          <w:shd w:fill="D6E4F0" w:val="clear"/>
        </w:rPr>
        <w:t>D项错误：</w:t>
      </w:r>
    </w:p>
    <w:p>
      <w:pPr>
        <w:spacing w:line="360" w:lineRule="auto" w:after="40"/>
      </w:pPr>
      <w:r>
        <w:t>D描述的是接受编号账户或化名账户时的身份确认条件，属于特定账户安排，而非私人银行和代理银行共有的持续交易监控流程。相比之下，C直接涵盖两类银行都需要实施的客户识别和持续监控。</w:t>
      </w:r>
    </w:p>
    <w:p>
      <w:pPr>
        <w:spacing w:line="360" w:lineRule="auto" w:after="40"/>
      </w:pPr>
      <w:r>
        <w:rPr>
          <w:b/>
          <w:shd w:fill="D6E4F0" w:val="clear"/>
        </w:rPr>
        <w:t>易错提醒：</w:t>
      </w:r>
    </w:p>
    <w:p>
      <w:pPr>
        <w:spacing w:line="360" w:lineRule="auto" w:after="40"/>
      </w:pPr>
      <w:r>
        <w:t>判断两类银行的“共同点”时，应寻找两者都适用的通用流程，而不是某类产品或账户的特殊规则。沃尔夫斯堡框架下，客户身份核实和持续交易监控是前后衔接的控制措施：前者确认客户及风险状况，后者在客户准入后持续发现异常或可疑活动。</w:t>
      </w:r>
    </w:p>
    <w:p>
      <w:pPr>
        <w:spacing w:line="360" w:lineRule="auto" w:after="120"/>
      </w:pPr>
      <w:r/>
    </w:p>
    <w:p>
      <w:pPr>
        <w:spacing w:line="360" w:lineRule="auto" w:after="40"/>
      </w:pPr>
      <w:r>
        <w:t>3. 埃格蒙特集团的一项基本原则是：</w:t>
      </w:r>
    </w:p>
    <w:p>
      <w:pPr>
        <w:spacing w:line="360" w:lineRule="auto" w:after="20"/>
      </w:pPr>
      <w:r>
        <w:t>A.发布有关报告可疑情况的标准</w:t>
      </w:r>
    </w:p>
    <w:p>
      <w:pPr>
        <w:spacing w:line="360" w:lineRule="auto" w:after="20"/>
      </w:pPr>
      <w:r>
        <w:t>B.促进监管机构的组织工作</w:t>
      </w:r>
    </w:p>
    <w:p>
      <w:pPr>
        <w:spacing w:line="360" w:lineRule="auto" w:after="20"/>
      </w:pPr>
      <w:r>
        <w:t>C.发布关于国际调查所作决定的信息</w:t>
      </w:r>
    </w:p>
    <w:p>
      <w:pPr>
        <w:spacing w:line="360" w:lineRule="auto" w:after="20"/>
      </w:pPr>
      <w:r>
        <w:t>D.建立金融情报机构（FIU）之间的信息共享机制</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埃格蒙特集团的核心性质是各国FIU间的合作与信息共享网络</w:t>
      </w:r>
    </w:p>
    <w:p>
      <w:pPr>
        <w:spacing w:line="360" w:lineRule="auto" w:after="40"/>
      </w:pPr>
      <w:r>
        <w:rPr>
          <w:b/>
          <w:shd w:fill="D6E4F0" w:val="clear"/>
        </w:rPr>
        <w:t>核心解析：</w:t>
      </w:r>
    </w:p>
    <w:p>
      <w:pPr>
        <w:spacing w:line="360" w:lineRule="auto" w:after="40"/>
      </w:pPr>
      <w:r>
        <w:t>埃格蒙特集团是</w:t>
      </w:r>
      <w:r>
        <w:rPr>
          <w:b/>
        </w:rPr>
        <w:t>各国金融情报机构（FIU）的国际网络</w:t>
      </w:r>
      <w:r>
        <w:t>，旨在促进成员间的合作与情报共享，以打击洗钱和恐怖融资等金融犯罪</w:t>
      </w:r>
      <w:r>
        <w:rPr>
          <w:sz w:val="15"/>
          <w:vertAlign w:val="superscript"/>
        </w:rPr>
        <w:t>P167</w:t>
      </w:r>
      <w:r>
        <w:t>。其核心要义在于连接各国FIU并促进信息互通。四个选项中，只有D将主体准确地落在FIU之间的信息共享上，直接体现了埃格蒙特集团的基本原则。</w:t>
      </w:r>
    </w:p>
    <w:p>
      <w:pPr>
        <w:spacing w:line="360" w:lineRule="auto" w:after="40"/>
      </w:pPr>
      <w:r>
        <w:rPr>
          <w:b/>
          <w:shd w:fill="D6E4F0" w:val="clear"/>
        </w:rPr>
        <w:t>教材原句：</w:t>
      </w:r>
    </w:p>
    <w:p>
      <w:pPr>
        <w:spacing w:line="360" w:lineRule="auto" w:after="40"/>
      </w:pPr>
      <w:r>
        <w:t>"The Egmont Group is an international network of national FIUs that facilitates cooperation and intelligence sharing among its members to combat money laundering, terrorist financing, and other financial crimes."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发布报告可疑情况的标准：教材提到埃格蒙特集团有关键职能“标准制定”（Standard-setting），旨在提高FIU运作效率</w:t>
      </w:r>
      <w:r>
        <w:rPr>
          <w:sz w:val="15"/>
          <w:vertAlign w:val="superscript"/>
        </w:rPr>
        <w:t>P167</w:t>
      </w:r>
      <w:r>
        <w:t>。但它的标准制定更多是为了协调FIU间的国际合作与信息交换标准</w:t>
      </w:r>
      <w:r>
        <w:rPr>
          <w:sz w:val="15"/>
          <w:vertAlign w:val="superscript"/>
        </w:rPr>
        <w:t>P167</w:t>
      </w:r>
      <w:r>
        <w:t>，而非作为核心原则直接对全行业发布“报告可疑情况”的普适性标准。相比之下，D提及的FIU间信息共享是其作为网络存在的根基，匹配度更直接。</w:t>
      </w:r>
    </w:p>
    <w:p>
      <w:pPr>
        <w:spacing w:line="360" w:lineRule="auto" w:after="40"/>
      </w:pPr>
      <w:r>
        <w:rPr>
          <w:b/>
          <w:shd w:fill="D6E4F0" w:val="clear"/>
        </w:rPr>
        <w:t>B项错误：</w:t>
      </w:r>
    </w:p>
    <w:p>
      <w:pPr>
        <w:spacing w:line="360" w:lineRule="auto" w:after="40"/>
      </w:pPr>
      <w:r>
        <w:t>促进监管机构的组织工作（Facilitate the organization of regulatory authorities）：埃格蒙特集团是一个由“金融情报机构（FIU）”组成的网络</w:t>
      </w:r>
      <w:r>
        <w:rPr>
          <w:sz w:val="15"/>
          <w:vertAlign w:val="superscript"/>
        </w:rPr>
        <w:t>P167</w:t>
      </w:r>
      <w:r>
        <w:t>，其主体是FIU而非广义的“监管机构”（regulatory authorities）。教材在别处定义了监管联络的职能，但那属于合规部门</w:t>
      </w:r>
      <w:r>
        <w:rPr>
          <w:sz w:val="15"/>
          <w:vertAlign w:val="superscript"/>
        </w:rPr>
        <w:t>P255</w:t>
      </w:r>
      <w:r>
        <w:t>或其他组织的职责，与该集团的定位不匹配。</w:t>
      </w:r>
    </w:p>
    <w:p>
      <w:pPr>
        <w:spacing w:line="360" w:lineRule="auto" w:after="40"/>
      </w:pPr>
      <w:r>
        <w:rPr>
          <w:b/>
          <w:shd w:fill="D6E4F0" w:val="clear"/>
        </w:rPr>
        <w:t>C项错误：</w:t>
      </w:r>
    </w:p>
    <w:p>
      <w:pPr>
        <w:spacing w:line="360" w:lineRule="auto" w:after="40"/>
      </w:pPr>
      <w:r>
        <w:t>发布关于国际调查所作决定的信息（Publish decisions taken on international investigations）：埃格蒙特集团的职能是促进FIU间的“情报共享”（intelligence sharing），即分享原始情报信息</w:t>
      </w:r>
      <w:r>
        <w:rPr>
          <w:sz w:val="15"/>
          <w:vertAlign w:val="superscript"/>
        </w:rPr>
        <w:t>P167</w:t>
      </w:r>
      <w:r>
        <w:t>，而非像一个司法机构那样去“发布关于国际调查的决定”。FATF建议中提及的信息交换和联合调查</w:t>
      </w:r>
      <w:r>
        <w:rPr>
          <w:sz w:val="15"/>
          <w:vertAlign w:val="superscript"/>
        </w:rPr>
        <w:t>P149</w:t>
      </w:r>
      <w:r>
        <w:t>也是为了协助调查，而非发布调查决定。</w:t>
      </w:r>
    </w:p>
    <w:p>
      <w:pPr>
        <w:spacing w:line="360" w:lineRule="auto" w:after="40"/>
      </w:pPr>
      <w:r>
        <w:rPr>
          <w:b/>
          <w:shd w:fill="D6E4F0" w:val="clear"/>
        </w:rPr>
        <w:t>易错提醒：</w:t>
      </w:r>
    </w:p>
    <w:p>
      <w:pPr>
        <w:spacing w:line="360" w:lineRule="auto" w:after="40"/>
      </w:pPr>
      <w:r>
        <w:t>埃格蒙特集团虽有“标准制定”职能，但它制定的标准更侧重于协调FIU间如何进行信息交换和国际合作</w:t>
      </w:r>
      <w:r>
        <w:rPr>
          <w:sz w:val="15"/>
          <w:vertAlign w:val="superscript"/>
        </w:rPr>
        <w:t>P167</w:t>
      </w:r>
      <w:r>
        <w:t>，而不是直接制定面向全行业金融机构的“报告可疑情况”标准。看到“标准”就选，容易掉坑。</w:t>
      </w:r>
    </w:p>
    <w:p>
      <w:pPr>
        <w:spacing w:line="360" w:lineRule="auto" w:after="120"/>
      </w:pPr>
      <w:r/>
    </w:p>
    <w:p>
      <w:pPr>
        <w:spacing w:line="360" w:lineRule="auto" w:after="40"/>
      </w:pPr>
      <w:r>
        <w:t>4. 沃尔夫斯堡集团2012年发布的《私人银行原则》确立了以下哪项原则？</w:t>
      </w:r>
    </w:p>
    <w:p>
      <w:pPr>
        <w:spacing w:line="360" w:lineRule="auto" w:after="20"/>
      </w:pPr>
      <w:r>
        <w:t>A.私人银行一致认为,客户实际受益所有权的透明度是必要且恰当的.</w:t>
      </w:r>
    </w:p>
    <w:p>
      <w:pPr>
        <w:spacing w:line="360" w:lineRule="auto" w:after="20"/>
      </w:pPr>
      <w:r>
        <w:t>B.对私人银行客户的尽职调查要求对于预防上游犯罪是必要的.</w:t>
      </w:r>
    </w:p>
    <w:p>
      <w:pPr>
        <w:spacing w:line="360" w:lineRule="auto" w:after="20"/>
      </w:pPr>
      <w:r>
        <w:t>C.基于风险的方法不足以应对私人银行业务所带来的风险加剧问题</w:t>
      </w:r>
    </w:p>
    <w:p>
      <w:pPr>
        <w:spacing w:line="360" w:lineRule="auto" w:after="20"/>
      </w:pPr>
      <w:r>
        <w:t>D.私人银行需要更好地协调和统一其全球反洗钱控制环境策略.</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识别2012年修订版《私人银行原则》对受益所有权识别与验证的要求</w:t>
      </w:r>
    </w:p>
    <w:p>
      <w:pPr>
        <w:spacing w:line="360" w:lineRule="auto" w:after="40"/>
      </w:pPr>
      <w:r>
        <w:rPr>
          <w:b/>
          <w:shd w:fill="D6E4F0" w:val="clear"/>
        </w:rPr>
        <w:t>核心解析：</w:t>
      </w:r>
    </w:p>
    <w:p>
      <w:pPr>
        <w:spacing w:line="360" w:lineRule="auto" w:after="40"/>
      </w:pPr>
      <w:r>
        <w:t>教材指出，沃尔夫斯堡集团定期修订私人银行原则，为金融机构识别和缓释高净值客户、政治敏感人物（PEPs）及离岸实体相关风险提供最佳实践</w:t>
      </w:r>
      <w:r>
        <w:rPr>
          <w:sz w:val="15"/>
          <w:vertAlign w:val="superscript"/>
        </w:rPr>
        <w:t>P168</w:t>
      </w:r>
      <w:r>
        <w:t>；教材也将客户利用私人投资公司或复杂所有权结构</w:t>
      </w:r>
      <w:r>
        <w:rPr>
          <w:b/>
        </w:rPr>
        <w:t>降低最终受益所有人透明度</w:t>
      </w:r>
      <w:r>
        <w:t>列为私人银行风险</w:t>
      </w:r>
      <w:r>
        <w:rPr>
          <w:sz w:val="15"/>
          <w:vertAlign w:val="superscript"/>
        </w:rPr>
        <w:t>P71</w:t>
      </w:r>
      <w:r>
        <w:t>。</w:t>
      </w:r>
    </w:p>
    <w:p>
      <w:pPr>
        <w:spacing w:line="360" w:lineRule="auto" w:after="40"/>
      </w:pPr>
      <w:r>
        <w:t>2012年修订版《私人银行原则》第1.2.3节规定，出于反洗钱目的，所有账户都必须确定受益所有权；每名受益所有人的身份均应被确定，并在适当情况下予以验证。选项A所称的受益所有权透明度，是对这一识别与验证要求的概括，因此在给定选项中最符合《私人银行原则》。</w:t>
      </w:r>
    </w:p>
    <w:p>
      <w:pPr>
        <w:spacing w:line="360" w:lineRule="auto" w:after="40"/>
      </w:pPr>
      <w:r>
        <w:t>官方原文："Beneficial ownership, for AML purposes, must be established for all accounts."</w:t>
      </w:r>
    </w:p>
    <w:p>
      <w:pPr>
        <w:spacing w:line="360" w:lineRule="auto" w:after="40"/>
      </w:pPr>
      <w:r>
        <w:rPr>
          <w:b/>
          <w:shd w:fill="D6E4F0" w:val="clear"/>
        </w:rPr>
        <w:t>教材原句：</w:t>
      </w:r>
    </w:p>
    <w:p>
      <w:pPr>
        <w:spacing w:line="360" w:lineRule="auto" w:after="40"/>
      </w:pPr>
      <w:r>
        <w:t>"Customers who use private investment companies or complex ownership structures to reduce the transparency of the ultimate beneficial owners."</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2012年修订版前言将相关政策和程序的目标表述为防止银行全球业务被用于犯罪、降低洗钱风险并配合政府侦测洗钱；文件也要求对客户开展尽职调查。它没有将私人银行客户尽职调查规定为“预防上游犯罪”的手段。相比之下，A直接对应第1.2.3节的受益所有权识别与验证要求。</w:t>
      </w:r>
    </w:p>
    <w:p>
      <w:pPr>
        <w:spacing w:line="360" w:lineRule="auto" w:after="40"/>
      </w:pPr>
      <w:r>
        <w:rPr>
          <w:b/>
          <w:shd w:fill="D6E4F0" w:val="clear"/>
        </w:rPr>
        <w:t>C项错误：</w:t>
      </w:r>
    </w:p>
    <w:p>
      <w:pPr>
        <w:spacing w:line="360" w:lineRule="auto" w:after="40"/>
      </w:pPr>
      <w:r>
        <w:t>2012年修订版前言要求相关政策和程序体现风险为本方法，第1.3节也明确要求银行运用风险为本方法核实客户信息。选项C称风险为本方法不足以应对私人银行风险，与原文件采用该方法的立场直接冲突。教材也记载沃尔夫斯堡集团强调应根据客户、交易或司法管辖区的风险水平分配资源</w:t>
      </w:r>
      <w:r>
        <w:rPr>
          <w:sz w:val="15"/>
          <w:vertAlign w:val="superscript"/>
        </w:rPr>
        <w:t>P169</w:t>
      </w:r>
      <w:r>
        <w:t>。</w:t>
      </w:r>
    </w:p>
    <w:p>
      <w:pPr>
        <w:spacing w:line="360" w:lineRule="auto" w:after="40"/>
      </w:pPr>
      <w:r>
        <w:rPr>
          <w:b/>
          <w:shd w:fill="D6E4F0" w:val="clear"/>
        </w:rPr>
        <w:t>D项错误：</w:t>
      </w:r>
    </w:p>
    <w:p>
      <w:pPr>
        <w:spacing w:line="360" w:lineRule="auto" w:after="40"/>
      </w:pPr>
      <w:r>
        <w:t>原文件讨论的是单家银行应如何建立客户接受、尽职调查、持续监控和内部控制要求。前言虽提到防止银行的全球业务被用于犯罪，但没有确立“私人银行之间应协调和统一全球AML控制环境策略”这一命题。D把机构内部控制要求扩展成了行业间全球协调要求。</w:t>
      </w:r>
    </w:p>
    <w:p>
      <w:pPr>
        <w:spacing w:line="360" w:lineRule="auto" w:after="40"/>
      </w:pPr>
      <w:r>
        <w:rPr>
          <w:b/>
          <w:shd w:fill="D6E4F0" w:val="clear"/>
        </w:rPr>
        <w:t>易错提醒：</w:t>
      </w:r>
    </w:p>
    <w:p>
      <w:pPr>
        <w:spacing w:line="360" w:lineRule="auto" w:after="40"/>
      </w:pPr>
      <w:r>
        <w:t>私人银行原则最初形成于2000年，2002年和2012年的文件属于后续修订版。其核心要求是为所有账户确定受益所有权，并识别受益所有人；必要时还应进行验证。</w:t>
      </w:r>
    </w:p>
    <w:p>
      <w:pPr>
        <w:spacing w:line="360" w:lineRule="auto" w:after="120"/>
      </w:pPr>
      <w:r/>
    </w:p>
    <w:p>
      <w:pPr>
        <w:spacing w:line="360" w:lineRule="auto" w:after="40"/>
      </w:pPr>
      <w:r>
        <w:t>5. 根据巴塞尔委员会的指导方针,应由组织的哪个层级来决定是否与高风险客户建立业务关系？</w:t>
      </w:r>
    </w:p>
    <w:p>
      <w:pPr>
        <w:spacing w:line="360" w:lineRule="auto" w:after="20"/>
      </w:pPr>
      <w:r>
        <w:t>A.账户开户人员</w:t>
      </w:r>
    </w:p>
    <w:p>
      <w:pPr>
        <w:spacing w:line="360" w:lineRule="auto" w:after="20"/>
      </w:pPr>
      <w:r>
        <w:t>B.中层管理人员</w:t>
      </w:r>
    </w:p>
    <w:p>
      <w:pPr>
        <w:spacing w:line="360" w:lineRule="auto" w:after="20"/>
      </w:pPr>
      <w:r>
        <w:t>C.高级管理层</w:t>
      </w:r>
    </w:p>
    <w:p>
      <w:pPr>
        <w:spacing w:line="360" w:lineRule="auto" w:after="20"/>
      </w:pPr>
      <w:r>
        <w:t>D.基层管理层</w:t>
      </w:r>
    </w:p>
    <w:p>
      <w:pPr>
        <w:spacing w:line="360" w:lineRule="auto" w:after="40"/>
      </w:pPr>
      <w:r>
        <w:t>答案:C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高风险客户准入决策的审批层级归属</w:t>
      </w:r>
    </w:p>
    <w:p>
      <w:pPr>
        <w:spacing w:line="360" w:lineRule="auto" w:after="40"/>
      </w:pPr>
      <w:r>
        <w:rPr>
          <w:b/>
          <w:shd w:fill="D6E4F0" w:val="clear"/>
        </w:rPr>
        <w:t>核心解析：</w:t>
      </w:r>
    </w:p>
    <w:p>
      <w:pPr>
        <w:spacing w:line="360" w:lineRule="auto" w:after="40"/>
      </w:pPr>
      <w:r>
        <w:t>巴塞尔委员会的KYC指导将</w:t>
      </w:r>
      <w:r>
        <w:rPr>
          <w:b/>
        </w:rPr>
        <w:t>客户接纳政策</w:t>
      </w:r>
      <w:r>
        <w:t>列为KYC计划的关键要素，并倡导银行实施风险分析和治理安排</w:t>
      </w:r>
      <w:r>
        <w:rPr>
          <w:sz w:val="15"/>
          <w:vertAlign w:val="superscript"/>
        </w:rPr>
        <w:t>P166</w:t>
      </w:r>
      <w:r>
        <w:t>。对于高风险客户，准入控制包括</w:t>
      </w:r>
      <w:r>
        <w:rPr>
          <w:b/>
        </w:rPr>
        <w:t>由高级管理层批准</w:t>
      </w:r>
      <w:r>
        <w:t>，例如在账户激活前取得合规委员会或董事会批准</w:t>
      </w:r>
      <w:r>
        <w:rPr>
          <w:sz w:val="15"/>
          <w:vertAlign w:val="superscript"/>
        </w:rPr>
        <w:t>P312</w:t>
      </w:r>
      <w:r>
        <w:t>。因此，决定是否与高风险客户建立业务关系属于高级管理层的审批职责，C最符合题意。</w:t>
      </w:r>
    </w:p>
    <w:p>
      <w:pPr>
        <w:spacing w:line="360" w:lineRule="auto" w:after="40"/>
      </w:pPr>
      <w:r>
        <w:rPr>
          <w:b/>
          <w:shd w:fill="D6E4F0" w:val="clear"/>
        </w:rPr>
        <w:t>教材原句：</w:t>
      </w:r>
    </w:p>
    <w:p>
      <w:pPr>
        <w:spacing w:line="360" w:lineRule="auto" w:after="40"/>
      </w:pPr>
      <w:r>
        <w:t>"Senior management approval, such as mandating compliance committee or board approval before account activation."</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第一道防线的客户接触人员负责实施金融犯罪防控政策与程序并执行CDD</w:t>
      </w:r>
      <w:r>
        <w:rPr>
          <w:sz w:val="15"/>
          <w:vertAlign w:val="superscript"/>
        </w:rPr>
        <w:t>P246</w:t>
      </w:r>
      <w:r>
        <w:t>，属于客户准入流程的执行端。题干询问的是高风险客户的批准层级，直接指向高级管理层</w:t>
      </w:r>
      <w:r>
        <w:rPr>
          <w:sz w:val="15"/>
          <w:vertAlign w:val="superscript"/>
        </w:rPr>
        <w:t>P312</w:t>
      </w:r>
      <w:r>
        <w:t>，因此C项匹配度更高。</w:t>
      </w:r>
    </w:p>
    <w:p>
      <w:pPr>
        <w:spacing w:line="360" w:lineRule="auto" w:after="40"/>
      </w:pPr>
      <w:r>
        <w:rPr>
          <w:b/>
          <w:shd w:fill="D6E4F0" w:val="clear"/>
        </w:rPr>
        <w:t>B项错误：</w:t>
      </w:r>
    </w:p>
    <w:p>
      <w:pPr>
        <w:spacing w:line="360" w:lineRule="auto" w:after="40"/>
      </w:pPr>
      <w:r>
        <w:t>middle management指中层管理层，不能等同于“中台”。题干问的是高风险客户准入的批准层级，教材和BCBS官方文件均使用“高级管理层”，因此B不如C匹配。</w:t>
      </w:r>
    </w:p>
    <w:p>
      <w:pPr>
        <w:spacing w:line="360" w:lineRule="auto" w:after="40"/>
      </w:pPr>
      <w:r>
        <w:rPr>
          <w:b/>
          <w:shd w:fill="D6E4F0" w:val="clear"/>
        </w:rPr>
        <w:t>D项错误：</w:t>
      </w:r>
    </w:p>
    <w:p>
      <w:pPr>
        <w:spacing w:line="360" w:lineRule="auto" w:after="40"/>
      </w:pPr>
      <w:r>
        <w:t>高风险客户准入应由“高级管理层”批准</w:t>
      </w:r>
      <w:r>
        <w:rPr>
          <w:sz w:val="15"/>
          <w:vertAlign w:val="superscript"/>
        </w:rPr>
        <w:t>P312</w:t>
      </w:r>
      <w:r>
        <w:t>，而“基层管理层”（first-level management）并非同一审批层级，因此D项的审批主体不正确。</w:t>
      </w:r>
    </w:p>
    <w:p>
      <w:pPr>
        <w:spacing w:line="360" w:lineRule="auto" w:after="40"/>
      </w:pPr>
      <w:r>
        <w:rPr>
          <w:b/>
          <w:shd w:fill="D6E4F0" w:val="clear"/>
        </w:rPr>
        <w:t>易错提醒：</w:t>
      </w:r>
    </w:p>
    <w:p>
      <w:pPr>
        <w:spacing w:line="360" w:lineRule="auto" w:after="40"/>
      </w:pPr>
      <w:r>
        <w:t>客户接触人员负责执行CDD和准入流程</w:t>
      </w:r>
      <w:r>
        <w:rPr>
          <w:sz w:val="15"/>
          <w:vertAlign w:val="superscript"/>
        </w:rPr>
        <w:t>P246</w:t>
      </w:r>
      <w:r>
        <w:t>，但高风险客户的最终准入决定应升级至高级管理层</w:t>
      </w:r>
      <w:r>
        <w:rPr>
          <w:sz w:val="15"/>
          <w:vertAlign w:val="superscript"/>
        </w:rPr>
        <w:t>P312</w:t>
      </w:r>
      <w:r>
        <w:t>。这里的“高级管理层”不能替换为中层管理层或基层管理层，也不等同于具体办理开户的人员。</w:t>
      </w:r>
    </w:p>
    <w:p>
      <w:pPr>
        <w:spacing w:line="360" w:lineRule="auto" w:after="120"/>
      </w:pPr>
      <w:r/>
    </w:p>
    <w:p>
      <w:pPr>
        <w:spacing w:line="360" w:lineRule="auto" w:after="40"/>
      </w:pPr>
      <w:r>
        <w:t>6. 一家金融机构正在设计一项企业范围的风险评估（EWRA）。根据沃尔夫斯堡集团发布的关于基于风险的方法来识别和管理洗钱风险的指导，一种有效的方法应当：</w:t>
      </w:r>
    </w:p>
    <w:p>
      <w:pPr>
        <w:spacing w:line="360" w:lineRule="auto" w:after="20"/>
      </w:pPr>
      <w:r>
        <w:t>A.在评估期内，重点关注新客户带来的风险，并了解用于降低相关洗钱风险的控制措施。</w:t>
      </w:r>
    </w:p>
    <w:p>
      <w:pPr>
        <w:spacing w:line="360" w:lineRule="auto" w:after="20"/>
      </w:pPr>
      <w:r>
        <w:t>B.应采取适当措施和控制手段，以降低来自高风险客户、产品和地区的洗钱风险。</w:t>
      </w:r>
    </w:p>
    <w:p>
      <w:pPr>
        <w:spacing w:line="360" w:lineRule="auto" w:after="20"/>
      </w:pPr>
      <w:r>
        <w:t>C.关注金融机构产品和服务提供的固有风险以及为降低潜在洗钱风险所采取的控制措施。</w:t>
      </w:r>
    </w:p>
    <w:p>
      <w:pPr>
        <w:spacing w:line="360" w:lineRule="auto" w:after="20"/>
      </w:pPr>
      <w:r>
        <w:t>D.使用由第三方供应商提供的框架，该框架在该司法管辖区内的其他金融机构中也有使用。</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风险为本的EWRA应覆盖主要风险维度并采取相应控制</w:t>
      </w:r>
    </w:p>
    <w:p>
      <w:pPr>
        <w:spacing w:line="360" w:lineRule="auto" w:after="40"/>
      </w:pPr>
      <w:r>
        <w:rPr>
          <w:b/>
          <w:shd w:fill="D6E4F0" w:val="clear"/>
        </w:rPr>
        <w:t>核心解析：</w:t>
      </w:r>
    </w:p>
    <w:p>
      <w:pPr>
        <w:spacing w:line="360" w:lineRule="auto" w:after="40"/>
      </w:pPr>
      <w:r>
        <w:t>教材说明，沃尔夫斯堡集团的风险为本指导强调金融机构应按</w:t>
      </w:r>
      <w:r>
        <w:rPr>
          <w:b/>
        </w:rPr>
        <w:t>客户、交易或司法管辖区所呈现的风险水平分配资源</w:t>
      </w:r>
      <w:r>
        <w:rPr>
          <w:sz w:val="15"/>
          <w:vertAlign w:val="superscript"/>
        </w:rPr>
        <w:t>P169</w:t>
      </w:r>
      <w:r>
        <w:t>。在EWRA层面，评估还应结合组织自身情况，考虑</w:t>
      </w:r>
      <w:r>
        <w:rPr>
          <w:b/>
        </w:rPr>
        <w:t>客户特征、司法管辖区、产品和交付渠道</w:t>
      </w:r>
      <w:r>
        <w:rPr>
          <w:sz w:val="15"/>
          <w:vertAlign w:val="superscript"/>
        </w:rPr>
        <w:t>P268</w:t>
      </w:r>
      <w:r>
        <w:t>；风险为本方法则要求</w:t>
      </w:r>
      <w:r>
        <w:rPr>
          <w:b/>
        </w:rPr>
        <w:t>识别、评估和理解风险，并采取适当措施有效缓解风险</w:t>
      </w:r>
      <w:r>
        <w:rPr>
          <w:sz w:val="15"/>
          <w:vertAlign w:val="superscript"/>
        </w:rPr>
        <w:t>P270</w:t>
      </w:r>
      <w:r>
        <w:t>。B项把这些要素组合为“高风险客户、产品和地区”及相应措施和控制，既覆盖主要风险维度，也包含风险缓解，因而比只限新客户的A项和只限产品、服务的C项更完整。</w:t>
      </w:r>
    </w:p>
    <w:p>
      <w:pPr>
        <w:spacing w:line="360" w:lineRule="auto" w:after="40"/>
      </w:pPr>
      <w:r>
        <w:rPr>
          <w:b/>
          <w:shd w:fill="D6E4F0" w:val="clear"/>
        </w:rPr>
        <w:t>教材原句：</w:t>
      </w:r>
    </w:p>
    <w:p>
      <w:pPr>
        <w:spacing w:line="360" w:lineRule="auto" w:after="40"/>
      </w:pPr>
      <w:r>
        <w:t>"A risk-based approach (RBA) is the process of identifying, assessing, and understanding the ML/TF risks to which organizations are exposed and taking appropriate measures to mitigate those risks effectively."</w:t>
      </w:r>
      <w:r>
        <w:rPr>
          <w:sz w:val="15"/>
          <w:vertAlign w:val="superscript"/>
        </w:rPr>
        <w:t>P270</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教材规定EWRA应审查所有客户类型，不限于“新客户”（即要求审查所有客户类型、司法管辖区、产品等）</w:t>
      </w:r>
      <w:r>
        <w:rPr>
          <w:sz w:val="15"/>
          <w:vertAlign w:val="superscript"/>
        </w:rPr>
        <w:t>P274</w:t>
      </w:r>
      <w:r>
        <w:t>。选项A将关注范围限定在“新客户”，与教材对EWRA全面性要求相比，覆盖范围不够。</w:t>
      </w:r>
    </w:p>
    <w:p>
      <w:pPr>
        <w:spacing w:line="360" w:lineRule="auto" w:after="40"/>
      </w:pPr>
      <w:r>
        <w:rPr>
          <w:b/>
          <w:shd w:fill="D6E4F0" w:val="clear"/>
        </w:rPr>
        <w:t>C项错误：</w:t>
      </w:r>
    </w:p>
    <w:p>
      <w:pPr>
        <w:spacing w:line="360" w:lineRule="auto" w:after="40"/>
      </w:pPr>
      <w:r>
        <w:t>C项提到产品、服务的固有风险和控制措施，内容本身属于EWRA的一部分，但遗漏客户和司法管辖区等风险维度。教材要求EWRA考虑客户特征、司法管辖区、产品和交付渠道</w:t>
      </w:r>
      <w:r>
        <w:rPr>
          <w:sz w:val="15"/>
          <w:vertAlign w:val="superscript"/>
        </w:rPr>
        <w:t>P268</w:t>
      </w:r>
      <w:r>
        <w:t>，故B项对题干“有效方法”的覆盖更完整。</w:t>
      </w:r>
    </w:p>
    <w:p>
      <w:pPr>
        <w:spacing w:line="360" w:lineRule="auto" w:after="40"/>
      </w:pPr>
      <w:r>
        <w:rPr>
          <w:b/>
          <w:shd w:fill="D6E4F0" w:val="clear"/>
        </w:rPr>
        <w:t>D项错误：</w:t>
      </w:r>
    </w:p>
    <w:p>
      <w:pPr>
        <w:spacing w:line="360" w:lineRule="auto" w:after="40"/>
      </w:pPr>
      <w:r>
        <w:t>EWRA应根据组织自身的客户、司法管辖区、产品和渠道等情况定制</w:t>
      </w:r>
      <w:r>
        <w:rPr>
          <w:sz w:val="15"/>
          <w:vertAlign w:val="superscript"/>
        </w:rPr>
        <w:t>P268</w:t>
      </w:r>
      <w:r>
        <w:t>。第三方框架可以作为工具，但其他机构采用同一框架并不能保证它适合本机构的风险状况，因此D不如B匹配。</w:t>
      </w:r>
    </w:p>
    <w:p>
      <w:pPr>
        <w:spacing w:line="360" w:lineRule="auto" w:after="40"/>
      </w:pPr>
      <w:r>
        <w:rPr>
          <w:b/>
          <w:shd w:fill="D6E4F0" w:val="clear"/>
        </w:rPr>
        <w:t>易错提醒：</w:t>
      </w:r>
    </w:p>
    <w:p>
      <w:pPr>
        <w:spacing w:line="360" w:lineRule="auto" w:after="40"/>
      </w:pPr>
      <w:r>
        <w:t>判断EWRA选项是否全面，不能只看它是否提到“固有风险”或“控制”，还要核对</w:t>
      </w:r>
      <w:r>
        <w:rPr>
          <w:b/>
        </w:rPr>
        <w:t>风险维度是否覆盖客户、司法管辖区、产品和渠道</w:t>
      </w:r>
      <w:r>
        <w:rPr>
          <w:sz w:val="15"/>
          <w:vertAlign w:val="superscript"/>
        </w:rPr>
        <w:t>P268</w:t>
      </w:r>
      <w:r>
        <w:t>，以及是否包含</w:t>
      </w:r>
      <w:r>
        <w:rPr>
          <w:b/>
        </w:rPr>
        <w:t>有效缓解措施</w:t>
      </w:r>
      <w:r>
        <w:rPr>
          <w:sz w:val="15"/>
          <w:vertAlign w:val="superscript"/>
        </w:rPr>
        <w:t>P270</w:t>
      </w:r>
      <w:r>
        <w:t>。</w:t>
      </w:r>
    </w:p>
    <w:p>
      <w:pPr>
        <w:spacing w:line="360" w:lineRule="auto" w:after="120"/>
      </w:pPr>
      <w:r/>
    </w:p>
    <w:p>
      <w:pPr>
        <w:spacing w:line="360" w:lineRule="auto" w:after="40"/>
      </w:pPr>
      <w:r>
        <w:t>7. 哪个由金融情报机构（FIU）组成的联合组织成立目的是改善成员FIU之间的信息交流和共享机制，并通过增强其成员的能力来支持它们？</w:t>
      </w:r>
    </w:p>
    <w:p>
      <w:pPr>
        <w:spacing w:line="360" w:lineRule="auto" w:after="20"/>
      </w:pPr>
      <w:r>
        <w:t>A.经济合作与发展组织(经合组织)</w:t>
      </w:r>
    </w:p>
    <w:p>
      <w:pPr>
        <w:spacing w:line="360" w:lineRule="auto" w:after="20"/>
      </w:pPr>
      <w:r>
        <w:t>B.埃格蒙特集团</w:t>
      </w:r>
    </w:p>
    <w:p>
      <w:pPr>
        <w:spacing w:line="360" w:lineRule="auto" w:after="20"/>
      </w:pPr>
      <w:r>
        <w:t>C.沃尔夫斯堡集团</w:t>
      </w:r>
    </w:p>
    <w:p>
      <w:pPr>
        <w:spacing w:line="360" w:lineRule="auto" w:after="20"/>
      </w:pPr>
      <w:r>
        <w:t>D.国际货币基金组织(IMF)</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埃格蒙特集团的组织性质与核心职能</w:t>
      </w:r>
    </w:p>
    <w:p>
      <w:pPr>
        <w:spacing w:line="360" w:lineRule="auto" w:after="40"/>
      </w:pPr>
      <w:r>
        <w:rPr>
          <w:b/>
          <w:shd w:fill="D6E4F0" w:val="clear"/>
        </w:rPr>
        <w:t>核心解析：</w:t>
      </w:r>
    </w:p>
    <w:p>
      <w:pPr>
        <w:spacing w:line="360" w:lineRule="auto" w:after="40"/>
      </w:pPr>
      <w:r>
        <w:t>教材将埃格蒙特集团定义为由</w:t>
      </w:r>
      <w:r>
        <w:rPr>
          <w:b/>
        </w:rPr>
        <w:t>各国金融情报机构（FIU）组成的国际网络</w:t>
      </w:r>
      <w:r>
        <w:t>，其作用包括促进成员之间的合作与情报共享</w:t>
      </w:r>
      <w:r>
        <w:rPr>
          <w:sz w:val="15"/>
          <w:vertAlign w:val="superscript"/>
        </w:rPr>
        <w:t>P167</w:t>
      </w:r>
      <w:r>
        <w:t>。在具体职能方面，教材指出，</w:t>
      </w:r>
      <w:r>
        <w:rPr>
          <w:b/>
        </w:rPr>
        <w:t>信息共享</w:t>
      </w:r>
      <w:r>
        <w:t>使FIU能够共享可疑金融活动情报，</w:t>
      </w:r>
      <w:r>
        <w:rPr>
          <w:b/>
        </w:rPr>
        <w:t>能力建设</w:t>
      </w:r>
      <w:r>
        <w:t>则通过培训和技术援助增强FIU的能力</w:t>
      </w:r>
      <w:r>
        <w:rPr>
          <w:sz w:val="15"/>
          <w:vertAlign w:val="superscript"/>
        </w:rPr>
        <w:t>P167</w:t>
      </w:r>
      <w:r>
        <w:t>。题干中的“FIU集体组织”“改善信息交流和共享机制”以及“增强成员能力”，分别与埃格蒙特集团的组织构成、信息共享职能和能力建设职能直接对应，因此答案为B。</w:t>
      </w:r>
    </w:p>
    <w:p>
      <w:pPr>
        <w:spacing w:line="360" w:lineRule="auto" w:after="40"/>
      </w:pPr>
      <w:r>
        <w:rPr>
          <w:b/>
          <w:shd w:fill="D6E4F0" w:val="clear"/>
        </w:rPr>
        <w:t>教材原句：</w:t>
      </w:r>
    </w:p>
    <w:p>
      <w:pPr>
        <w:spacing w:line="360" w:lineRule="auto" w:after="40"/>
      </w:pPr>
      <w:r>
        <w:t>"Capacity building, which provides training and technical assistance to enhance FIU capabilities."</w:t>
      </w:r>
      <w:r>
        <w:rPr>
          <w:sz w:val="15"/>
          <w:vertAlign w:val="superscript"/>
        </w:rPr>
        <w:t>P167</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OECD是1961年成立的政府间组织，其核心角色是与政策制定者合作制定基于证据的国际标准</w:t>
      </w:r>
      <w:r>
        <w:rPr>
          <w:sz w:val="15"/>
          <w:vertAlign w:val="superscript"/>
        </w:rPr>
        <w:t>P164</w:t>
      </w:r>
      <w:r>
        <w:t>，成员是各国政府，而非各国FIU。题干更直接匹配埃格蒙特集团作为FIU网络的定义。</w:t>
      </w:r>
    </w:p>
    <w:p>
      <w:pPr>
        <w:spacing w:line="360" w:lineRule="auto" w:after="40"/>
      </w:pPr>
      <w:r>
        <w:rPr>
          <w:b/>
          <w:shd w:fill="D6E4F0" w:val="clear"/>
        </w:rPr>
        <w:t>C项错误：</w:t>
      </w:r>
    </w:p>
    <w:p>
      <w:pPr>
        <w:spacing w:line="360" w:lineRule="auto" w:after="40"/>
      </w:pPr>
      <w:r>
        <w:t>沃尔夫斯堡集团是由全球银行组成的协会，成员是银行而非FIU，聚焦于制定金融犯罪风险管理政策与指引</w:t>
      </w:r>
      <w:r>
        <w:rPr>
          <w:sz w:val="15"/>
          <w:vertAlign w:val="superscript"/>
        </w:rPr>
        <w:t>P168</w:t>
      </w:r>
      <w:r>
        <w:t>。题干要求的主体是FIU的集体组织，而非银行协会。</w:t>
      </w:r>
    </w:p>
    <w:p>
      <w:pPr>
        <w:spacing w:line="360" w:lineRule="auto" w:after="40"/>
      </w:pPr>
      <w:r>
        <w:rPr>
          <w:b/>
          <w:shd w:fill="D6E4F0" w:val="clear"/>
        </w:rPr>
        <w:t>D项错误：</w:t>
      </w:r>
    </w:p>
    <w:p>
      <w:pPr>
        <w:spacing w:line="360" w:lineRule="auto" w:after="40"/>
      </w:pPr>
      <w:r>
        <w:t>IMF的核心职能是监测全球经济并维护货币体系稳定</w:t>
      </w:r>
      <w:r>
        <w:rPr>
          <w:sz w:val="15"/>
          <w:vertAlign w:val="superscript"/>
        </w:rPr>
        <w:t>P163</w:t>
      </w:r>
      <w:r>
        <w:t>，其成员是主权国家而非FIU。题干针对的是FIU之间的信息交换和能力建设，这与IMF的宏观金融稳定职能不同。</w:t>
      </w:r>
    </w:p>
    <w:p>
      <w:pPr>
        <w:spacing w:line="360" w:lineRule="auto" w:after="40"/>
      </w:pPr>
      <w:r>
        <w:rPr>
          <w:b/>
          <w:shd w:fill="D6E4F0" w:val="clear"/>
        </w:rPr>
        <w:t>易错提醒：</w:t>
      </w:r>
    </w:p>
    <w:p>
      <w:pPr>
        <w:spacing w:line="360" w:lineRule="auto" w:after="40"/>
      </w:pPr>
      <w:r>
        <w:t>四个选项中有两个名称带“Group”，容易混淆其成员主体。核心区分：埃格蒙特集团是FIU的国际网络</w:t>
      </w:r>
      <w:r>
        <w:rPr>
          <w:sz w:val="15"/>
          <w:vertAlign w:val="superscript"/>
        </w:rPr>
        <w:t>P167</w:t>
      </w:r>
      <w:r>
        <w:t>，沃尔夫斯堡集团是全球银行组成的协会</w:t>
      </w:r>
      <w:r>
        <w:rPr>
          <w:sz w:val="15"/>
          <w:vertAlign w:val="superscript"/>
        </w:rPr>
        <w:t>P168</w:t>
      </w:r>
      <w:r>
        <w:t>；OECD和IMF则不是FIU网络。题干同时强调FIU之间的信息共享和能力建设，只有埃格蒙特集团与这些特征完整匹配。</w:t>
      </w:r>
    </w:p>
    <w:p>
      <w:pPr>
        <w:spacing w:line="360" w:lineRule="auto" w:after="120"/>
      </w:pPr>
      <w:r/>
    </w:p>
    <w:p>
      <w:pPr>
        <w:spacing w:line="360" w:lineRule="auto" w:after="40"/>
      </w:pPr>
      <w:r>
        <w:t>8. 巴塞尔银行监管委员会(BCBS)是一个由各国中央银行和银行业监管机构的高级代表组成的国际机构.以下哪项陈述准确描述了巴塞尔委员会提供的指导？（选择三项。）</w:t>
      </w:r>
    </w:p>
    <w:p>
      <w:pPr>
        <w:spacing w:line="360" w:lineRule="auto" w:after="20"/>
      </w:pPr>
      <w:r>
        <w:t>A.由于巴塞尔委员会没有执法权,它依靠其成员的承诺来执行其指导方针.</w:t>
      </w:r>
    </w:p>
    <w:p>
      <w:pPr>
        <w:spacing w:line="360" w:lineRule="auto" w:after="20"/>
      </w:pPr>
      <w:r>
        <w:t>B.巴塞尔指导方针包括应纳入当地法律框架的标准、实施指南以及最佳实践指导.</w:t>
      </w:r>
    </w:p>
    <w:p>
      <w:pPr>
        <w:spacing w:line="360" w:lineRule="auto" w:after="20"/>
      </w:pPr>
      <w:r>
        <w:t>C.巴塞尔委员会的核心原则包括有关客户身份识别和客户接纳政策的指导方针</w:t>
      </w:r>
    </w:p>
    <w:p>
      <w:pPr>
        <w:spacing w:line="360" w:lineRule="auto" w:after="20"/>
      </w:pPr>
      <w:r>
        <w:t>D.巴塞尔银行监管委员会的成员必须执行其标准,否则将面临被暂停成员资格的处罚.</w:t>
      </w:r>
    </w:p>
    <w:p>
      <w:pPr>
        <w:spacing w:line="360" w:lineRule="auto" w:after="20"/>
      </w:pPr>
      <w:r>
        <w:t>E.巴塞尔委员会由全球28家最大的银行组成</w:t>
      </w:r>
    </w:p>
    <w:p>
      <w:pPr>
        <w:spacing w:line="360" w:lineRule="auto" w:after="40"/>
      </w:pPr>
      <w:r>
        <w:t>答案:A、B、C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区分BCBS的执法机制、文件类型、成员构成与核心原则内容</w:t>
      </w:r>
    </w:p>
    <w:p>
      <w:pPr>
        <w:spacing w:line="360" w:lineRule="auto" w:after="40"/>
      </w:pPr>
      <w:r>
        <w:rPr>
          <w:b/>
          <w:shd w:fill="D6E4F0" w:val="clear"/>
        </w:rPr>
        <w:t>核心解析：</w:t>
      </w:r>
    </w:p>
    <w:p>
      <w:pPr>
        <w:spacing w:line="360" w:lineRule="auto" w:after="40"/>
      </w:pPr>
      <w:r>
        <w:rPr>
          <w:b/>
        </w:rPr>
        <w:t>BCBS没有执法权，而是依靠成员履行承诺来实现其使命</w:t>
      </w:r>
      <w:r>
        <w:t>，因此A直接对应教材</w:t>
      </w:r>
      <w:r>
        <w:rPr>
          <w:sz w:val="15"/>
          <w:vertAlign w:val="superscript"/>
        </w:rPr>
        <w:t>P165</w:t>
      </w:r>
      <w:r>
        <w:t>。教材分别说明，BCBS提供供纳入当地法律框架的标准、帮助实施标准的指南，以及描述实际观察做法的良好实践，三条直接事实共同对应B</w:t>
      </w:r>
      <w:r>
        <w:rPr>
          <w:sz w:val="15"/>
          <w:vertAlign w:val="superscript"/>
        </w:rPr>
        <w:t>P165-P166</w:t>
      </w:r>
      <w:r>
        <w:t>。对于C，教材先说明BCBS发布反洗钱原则声明，并指出其KYC文件的关键要素包括客户身份识别和客户接纳政策；因此，C项所述内容属于BCBS反洗钱/KYC指导范围</w:t>
      </w:r>
      <w:r>
        <w:rPr>
          <w:sz w:val="15"/>
          <w:vertAlign w:val="superscript"/>
        </w:rPr>
        <w:t>P166</w:t>
      </w:r>
      <w:r>
        <w:t>。这里的判断依据是“原则声明—KYC规则—具体关键要素”的上下文链条，而不是把两个孤立短语直接等同于完整的核心原则定义。综上，A、B、C均成立。</w:t>
      </w:r>
    </w:p>
    <w:p>
      <w:pPr>
        <w:spacing w:line="360" w:lineRule="auto" w:after="40"/>
      </w:pPr>
      <w:r>
        <w:rPr>
          <w:b/>
          <w:shd w:fill="D6E4F0" w:val="clear"/>
        </w:rPr>
        <w:t>教材原句：</w:t>
      </w:r>
    </w:p>
    <w:p>
      <w:pPr>
        <w:spacing w:line="360" w:lineRule="auto" w:after="40"/>
      </w:pPr>
      <w:r>
        <w:t>"It does not have enforcement authority, but relies on its members’ commitment to achieve its mandate."</w:t>
      </w:r>
      <w:r>
        <w:rPr>
          <w:sz w:val="15"/>
          <w:vertAlign w:val="superscript"/>
        </w:rPr>
        <w:t>P165</w:t>
      </w:r>
    </w:p>
    <w:p>
      <w:pPr>
        <w:spacing w:line="360" w:lineRule="auto" w:after="40"/>
      </w:pPr>
      <w:r>
        <w:rPr>
          <w:b/>
          <w:shd w:fill="D6E4F0" w:val="clear"/>
        </w:rPr>
        <w:t>错误项分析：</w:t>
      </w:r>
    </w:p>
    <w:p>
      <w:pPr>
        <w:spacing w:line="360" w:lineRule="auto" w:after="40"/>
      </w:pPr>
      <w:r>
        <w:rPr>
          <w:b/>
          <w:shd w:fill="D6E4F0" w:val="clear"/>
        </w:rPr>
        <w:t>D项错误：</w:t>
      </w:r>
    </w:p>
    <w:p>
      <w:pPr>
        <w:spacing w:line="360" w:lineRule="auto" w:after="40"/>
      </w:pPr>
      <w:r>
        <w:t>BCBS没有执法权，其指导落实依赖成员承诺</w:t>
      </w:r>
      <w:r>
        <w:rPr>
          <w:sz w:val="15"/>
          <w:vertAlign w:val="superscript"/>
        </w:rPr>
        <w:t>P165</w:t>
      </w:r>
      <w:r>
        <w:t>。D所述“不执行即暂停成员资格”是一种强制处罚机制，与BCBS的制度定位不一致。</w:t>
      </w:r>
    </w:p>
    <w:p>
      <w:pPr>
        <w:spacing w:line="360" w:lineRule="auto" w:after="40"/>
      </w:pPr>
      <w:r>
        <w:rPr>
          <w:b/>
          <w:shd w:fill="D6E4F0" w:val="clear"/>
        </w:rPr>
        <w:t>E项错误：</w:t>
      </w:r>
    </w:p>
    <w:p>
      <w:pPr>
        <w:spacing w:line="360" w:lineRule="auto" w:after="40"/>
      </w:pPr>
      <w:r>
        <w:t>教材指出BCBS成员包括来自28个成员国的银行监管机构和中央银行，而非28家银行</w:t>
      </w:r>
      <w:r>
        <w:rPr>
          <w:sz w:val="15"/>
          <w:vertAlign w:val="superscript"/>
        </w:rPr>
        <w:t>P165</w:t>
      </w:r>
      <w:r>
        <w:t>。选项将监管主体错置为被监管的商业银行，不如教材原文准确。</w:t>
      </w:r>
    </w:p>
    <w:p>
      <w:pPr>
        <w:spacing w:line="360" w:lineRule="auto" w:after="40"/>
      </w:pPr>
      <w:r>
        <w:rPr>
          <w:b/>
          <w:shd w:fill="D6E4F0" w:val="clear"/>
        </w:rPr>
        <w:t>易错提醒：</w:t>
      </w:r>
    </w:p>
    <w:p>
      <w:pPr>
        <w:spacing w:line="360" w:lineRule="auto" w:after="40"/>
      </w:pPr>
      <w:r>
        <w:t>BCBS的成员是银行监管机构和中央银行，题干提到的“28”对应的是28个成员国，而非28家最大的银行</w:t>
      </w:r>
      <w:r>
        <w:rPr>
          <w:sz w:val="15"/>
          <w:vertAlign w:val="superscript"/>
        </w:rPr>
        <w:t>P165</w:t>
      </w:r>
      <w:r>
        <w:t>。容易因数字相同而混淆。</w:t>
      </w:r>
    </w:p>
    <w:p>
      <w:pPr>
        <w:spacing w:line="360" w:lineRule="auto" w:after="120"/>
      </w:pPr>
      <w:r/>
    </w:p>
    <w:p>
      <w:pPr>
        <w:spacing w:line="360" w:lineRule="auto" w:after="40"/>
      </w:pPr>
      <w:r>
        <w:t>9. 哪些非政府机构通常发布与反洗钱/打击资助恐怖主义相关的信息和指导？（选择两项。）</w:t>
      </w:r>
    </w:p>
    <w:p>
      <w:pPr>
        <w:spacing w:line="360" w:lineRule="auto" w:after="20"/>
      </w:pPr>
      <w:r>
        <w:t>A.沃尔夫斯堡集团</w:t>
      </w:r>
    </w:p>
    <w:p>
      <w:pPr>
        <w:spacing w:line="360" w:lineRule="auto" w:after="20"/>
      </w:pPr>
      <w:r>
        <w:t>B.透明国际</w:t>
      </w:r>
    </w:p>
    <w:p>
      <w:pPr>
        <w:spacing w:line="360" w:lineRule="auto" w:after="20"/>
      </w:pPr>
      <w:r>
        <w:t>C.金融行动特别工作组（FATF）</w:t>
      </w:r>
    </w:p>
    <w:p>
      <w:pPr>
        <w:spacing w:line="360" w:lineRule="auto" w:after="20"/>
      </w:pPr>
      <w:r>
        <w:t>D.税收正义网络</w:t>
      </w:r>
    </w:p>
    <w:p>
      <w:pPr>
        <w:spacing w:line="360" w:lineRule="auto" w:after="40"/>
      </w:pPr>
      <w:r>
        <w:t>答案:A、B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区分国际反洗钱组织的政府间与非政府性质</w:t>
      </w:r>
    </w:p>
    <w:p>
      <w:pPr>
        <w:spacing w:line="360" w:lineRule="auto" w:after="40"/>
      </w:pPr>
      <w:r>
        <w:rPr>
          <w:b/>
          <w:shd w:fill="D6E4F0" w:val="clear"/>
        </w:rPr>
        <w:t>核心解析：</w:t>
      </w:r>
    </w:p>
    <w:p>
      <w:pPr>
        <w:spacing w:line="360" w:lineRule="auto" w:after="40"/>
      </w:pPr>
      <w:r>
        <w:t>解答本题的关键在于厘清各类国际组织的根本性质——它究竟是由主权国家组成的</w:t>
      </w:r>
      <w:r>
        <w:rPr>
          <w:b/>
        </w:rPr>
        <w:t>“政府间组织”</w:t>
      </w:r>
      <w:r>
        <w:t>，还是独立于政府之外的</w:t>
      </w:r>
      <w:r>
        <w:rPr>
          <w:b/>
        </w:rPr>
        <w:t>“非政府组织”</w:t>
      </w:r>
      <w:r>
        <w:t>。沃尔夫斯堡集团是由全球银行组成的协会，制定金融犯罪风险管理政策与指引</w:t>
      </w:r>
      <w:r>
        <w:rPr>
          <w:sz w:val="15"/>
          <w:vertAlign w:val="superscript"/>
        </w:rPr>
        <w:t>P168</w:t>
      </w:r>
      <w:r>
        <w:t>，它由银行发起，没有政府主导背景，属于非政府机构。透明国际（TI）是致力于制止腐败的非政府组织，其性质在其定义中被直接定性为“non-governmental organization”</w:t>
      </w:r>
      <w:r>
        <w:rPr>
          <w:sz w:val="15"/>
          <w:vertAlign w:val="superscript"/>
        </w:rPr>
        <w:t>P172</w:t>
      </w:r>
      <w:r>
        <w:t>。题干要求选出“非政府机构”，这两个组织均直接符合这一核心属性。反观金融行动特别工作组（FATF），其于1989年由七国集团（G7）成立，本质上是一个政府间国际组织，由政府发起并主导，因此不属于非政府组织</w:t>
      </w:r>
      <w:r>
        <w:rPr>
          <w:sz w:val="15"/>
          <w:vertAlign w:val="superscript"/>
        </w:rPr>
        <w:t>P144</w:t>
      </w:r>
      <w:r>
        <w:t>。税收正义网络（TJN）虽为非政府倡导组织，但教材将其描述为独立倡导组织，定位更偏向税收正义领域</w:t>
      </w:r>
      <w:r>
        <w:rPr>
          <w:sz w:val="15"/>
          <w:vertAlign w:val="superscript"/>
        </w:rPr>
        <w:t>P175</w:t>
      </w:r>
      <w:r>
        <w:t>，相比之下，透明国际与沃尔夫斯堡集团的反洗钱/反恐怖融资属性更为直接和广泛。</w:t>
      </w:r>
    </w:p>
    <w:p>
      <w:pPr>
        <w:spacing w:line="360" w:lineRule="auto" w:after="40"/>
      </w:pPr>
      <w:r>
        <w:rPr>
          <w:b/>
          <w:shd w:fill="D6E4F0" w:val="clear"/>
        </w:rPr>
        <w:t>教材原句：</w:t>
      </w:r>
    </w:p>
    <w:p>
      <w:pPr>
        <w:spacing w:line="360" w:lineRule="auto" w:after="40"/>
      </w:pPr>
      <w:r>
        <w:t>"The Wolfsberg Group is an association of global banks that develop policies and guidance for managing financial crime risk."</w:t>
      </w:r>
      <w:r>
        <w:rPr>
          <w:sz w:val="15"/>
          <w:vertAlign w:val="superscript"/>
        </w:rPr>
        <w:t>P168</w:t>
      </w:r>
    </w:p>
    <w:p>
      <w:pPr>
        <w:spacing w:line="360" w:lineRule="auto" w:after="40"/>
      </w:pPr>
      <w:r>
        <w:rPr>
          <w:b/>
          <w:shd w:fill="D6E4F0" w:val="clear"/>
        </w:rPr>
        <w:t>错误项分析：</w:t>
      </w:r>
    </w:p>
    <w:p>
      <w:pPr>
        <w:spacing w:line="360" w:lineRule="auto" w:after="40"/>
      </w:pPr>
      <w:r>
        <w:rPr>
          <w:b/>
          <w:shd w:fill="D6E4F0" w:val="clear"/>
        </w:rPr>
        <w:t>C项错误：</w:t>
      </w:r>
    </w:p>
    <w:p>
      <w:pPr>
        <w:spacing w:line="360" w:lineRule="auto" w:after="40"/>
      </w:pPr>
      <w:r>
        <w:t>FATF于1989年由七国集团（G7）成立，旨在协调打击洗钱</w:t>
      </w:r>
      <w:r>
        <w:rPr>
          <w:sz w:val="15"/>
          <w:vertAlign w:val="superscript"/>
        </w:rPr>
        <w:t>P144</w:t>
      </w:r>
      <w:r>
        <w:t>，是由主权国家政府发起并组成的政府间组织，而非“非政府机构”。题干明确限定为“非政府机构”，因此FATF的主体性质与题干要求直接不匹配。</w:t>
      </w:r>
    </w:p>
    <w:p>
      <w:pPr>
        <w:spacing w:line="360" w:lineRule="auto" w:after="40"/>
      </w:pPr>
      <w:r>
        <w:rPr>
          <w:b/>
          <w:shd w:fill="D6E4F0" w:val="clear"/>
        </w:rPr>
        <w:t>D项错误：</w:t>
      </w:r>
    </w:p>
    <w:p>
      <w:pPr>
        <w:spacing w:line="360" w:lineRule="auto" w:after="40"/>
      </w:pPr>
      <w:r>
        <w:t>税收正义网络（TJN）是一个独立的倡导组织，致力于曝光和打击全球避税、逃税与金融保密</w:t>
      </w:r>
      <w:r>
        <w:rPr>
          <w:sz w:val="15"/>
          <w:vertAlign w:val="superscript"/>
        </w:rPr>
        <w:t>P175</w:t>
      </w:r>
      <w:r>
        <w:t>。其工作核心聚焦于“税收正义”，虽与金融犯罪有交叉，但相较于透明国际明确聚焦于腐败（与洗钱直接相关）</w:t>
      </w:r>
      <w:r>
        <w:rPr>
          <w:sz w:val="15"/>
          <w:vertAlign w:val="superscript"/>
        </w:rPr>
        <w:t>P172</w:t>
      </w:r>
      <w:r>
        <w:t>或沃尔夫斯堡集团直接制定反洗钱指引</w:t>
      </w:r>
      <w:r>
        <w:rPr>
          <w:sz w:val="15"/>
          <w:vertAlign w:val="superscript"/>
        </w:rPr>
        <w:t>P168</w:t>
      </w:r>
      <w:r>
        <w:t>，TJN与反洗钱/打击资助恐怖主义（AML/CFT）核心议题的匹配度更弱。此外，教材介绍其性质时，并未像对透明国际那样直接使用“non-governmental organization”这一标签，因此更优选项为直接且明确被标注为非政府组织的A和B。</w:t>
      </w:r>
    </w:p>
    <w:p>
      <w:pPr>
        <w:spacing w:line="360" w:lineRule="auto" w:after="40"/>
      </w:pPr>
      <w:r>
        <w:rPr>
          <w:b/>
          <w:shd w:fill="D6E4F0" w:val="clear"/>
        </w:rPr>
        <w:t>易错提醒：</w:t>
      </w:r>
    </w:p>
    <w:p>
      <w:pPr>
        <w:spacing w:line="360" w:lineRule="auto" w:after="40"/>
      </w:pPr>
      <w:r>
        <w:t>在教材的分类体系中，“政府间组织”（如FATF）由政府发起成立</w:t>
      </w:r>
      <w:r>
        <w:rPr>
          <w:sz w:val="15"/>
          <w:vertAlign w:val="superscript"/>
        </w:rPr>
        <w:t>P144</w:t>
      </w:r>
      <w:r>
        <w:t>，成员通常为主权国家；“非政府组织”（如沃尔夫斯堡集团、透明国际）则由私主体（如银行）或民间社会发起，独立于政府运作</w:t>
      </w:r>
      <w:r>
        <w:rPr>
          <w:sz w:val="15"/>
          <w:vertAlign w:val="superscript"/>
        </w:rPr>
        <w:t>P168、P172</w:t>
      </w:r>
      <w:r>
        <w:t>。两者的根本区别在于发起方与成员构成，而非其影响力或是否发布相关指引。</w:t>
      </w:r>
    </w:p>
    <w:p>
      <w:pPr>
        <w:spacing w:line="360" w:lineRule="auto" w:after="120"/>
      </w:pPr>
      <w:r/>
    </w:p>
    <w:p>
      <w:pPr>
        <w:spacing w:line="360" w:lineRule="auto" w:after="40"/>
      </w:pPr>
      <w:r>
        <w:t>10. 金融行动特别工作组(FATF)的主要职能包括:（选择三项。）</w:t>
      </w:r>
    </w:p>
    <w:p>
      <w:pPr>
        <w:spacing w:line="360" w:lineRule="auto" w:after="20"/>
      </w:pPr>
      <w:r>
        <w:t>A.起诉不合作司法管辖区</w:t>
      </w:r>
    </w:p>
    <w:p>
      <w:pPr>
        <w:spacing w:line="360" w:lineRule="auto" w:after="20"/>
      </w:pPr>
      <w:r>
        <w:t>B.与其他国际组织和机构保持联系</w:t>
      </w:r>
    </w:p>
    <w:p>
      <w:pPr>
        <w:spacing w:line="360" w:lineRule="auto" w:after="20"/>
      </w:pPr>
      <w:r>
        <w:t>C.制定打击洗钱、恐怖主义融资和扩散融资的国际标准</w:t>
      </w:r>
    </w:p>
    <w:p>
      <w:pPr>
        <w:spacing w:line="360" w:lineRule="auto" w:after="20"/>
      </w:pPr>
      <w:r>
        <w:t>D.识别并应对存在战略缺陷的高风险、不合作司法管辖区</w:t>
      </w:r>
    </w:p>
    <w:p>
      <w:pPr>
        <w:spacing w:line="360" w:lineRule="auto" w:after="20"/>
      </w:pPr>
      <w:r>
        <w:t>E.暂停在相互评估中表现不佳的国家的成员资格</w:t>
      </w:r>
    </w:p>
    <w:p>
      <w:pPr>
        <w:spacing w:line="360" w:lineRule="auto" w:after="40"/>
      </w:pPr>
      <w:r>
        <w:t>答案:B、C、D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FATF核心职能范围——标准制定、辖区识别、国际合作</w:t>
      </w:r>
    </w:p>
    <w:p>
      <w:pPr>
        <w:spacing w:line="360" w:lineRule="auto" w:after="40"/>
      </w:pPr>
      <w:r>
        <w:rPr>
          <w:b/>
          <w:shd w:fill="D6E4F0" w:val="clear"/>
        </w:rPr>
        <w:t>核心解析：</w:t>
      </w:r>
    </w:p>
    <w:p>
      <w:pPr>
        <w:spacing w:line="360" w:lineRule="auto" w:after="40"/>
      </w:pPr>
      <w:r>
        <w:t>FATF的核心职能包括三类。第一，</w:t>
      </w:r>
      <w:r>
        <w:rPr>
          <w:b/>
        </w:rPr>
        <w:t>制定国际标准</w:t>
      </w:r>
      <w:r>
        <w:t>：FATF成立一年内发布40项建议，为全球反洗钱提供行动框架</w:t>
      </w:r>
      <w:r>
        <w:rPr>
          <w:sz w:val="15"/>
          <w:vertAlign w:val="superscript"/>
        </w:rPr>
        <w:t>P144</w:t>
      </w:r>
      <w:r>
        <w:t>，建议1–8进一步要求成员辖区建立打击洗钱、恐怖融资和扩散融资的全面法律监管框架</w:t>
      </w:r>
      <w:r>
        <w:rPr>
          <w:sz w:val="15"/>
          <w:vertAlign w:val="superscript"/>
        </w:rPr>
        <w:t>P147</w:t>
      </w:r>
      <w:r>
        <w:t>，对应C。第二，</w:t>
      </w:r>
      <w:r>
        <w:rPr>
          <w:b/>
        </w:rPr>
        <w:t>识别并应对存在战略缺陷的高风险、不合作司法管辖区</w:t>
      </w:r>
      <w:r>
        <w:t>：FATF定期评估标准实施情况，发现缺陷后监控整改计划并公开进展，其国际合作审查组负责识别高风险和不合作辖区</w:t>
      </w:r>
      <w:r>
        <w:rPr>
          <w:sz w:val="15"/>
          <w:vertAlign w:val="superscript"/>
        </w:rPr>
        <w:t>P155</w:t>
      </w:r>
      <w:r>
        <w:t>，对应D。第三，与其他国际组织和机构保持合作：世界银行和IMF与FATF密切合作、在金融部门评估中纳入FATF标准，并拥有观察员地位</w:t>
      </w:r>
      <w:r>
        <w:rPr>
          <w:sz w:val="15"/>
          <w:vertAlign w:val="superscript"/>
        </w:rPr>
        <w:t>P146</w:t>
      </w:r>
      <w:r>
        <w:t>，对应B。</w:t>
      </w:r>
    </w:p>
    <w:p>
      <w:pPr>
        <w:spacing w:line="360" w:lineRule="auto" w:after="40"/>
      </w:pPr>
      <w:r>
        <w:rPr>
          <w:b/>
          <w:shd w:fill="D6E4F0" w:val="clear"/>
        </w:rPr>
        <w:t>教材原句：</w:t>
      </w:r>
    </w:p>
    <w:p>
      <w:pPr>
        <w:spacing w:line="360" w:lineRule="auto" w:after="40"/>
      </w:pPr>
      <w:r>
        <w:t>"Within a year of its founding, FATF issued its original 40 Recommendations setting forth guidance and a comprehensive action plan for fighting money laundering worldwide."</w:t>
      </w:r>
      <w:r>
        <w:rPr>
          <w:sz w:val="15"/>
          <w:vertAlign w:val="superscript"/>
        </w:rPr>
        <w:t>P144</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FATF应对不合作辖区的方式包括识别、列入灰名单或黑名单、监控整改计划和发布公开警告</w:t>
      </w:r>
      <w:r>
        <w:rPr>
          <w:sz w:val="15"/>
          <w:vertAlign w:val="superscript"/>
        </w:rPr>
        <w:t>P155</w:t>
      </w:r>
      <w:r>
        <w:t>，这些属于监督与公开施压手段，而非司法性质的“起诉”。Prosecuting 是执法机关职能，FATF作为政府间标准制定机构不具有执法权。题干更直接支持“识别与应对”（选项D）而非“起诉”。</w:t>
      </w:r>
    </w:p>
    <w:p>
      <w:pPr>
        <w:spacing w:line="360" w:lineRule="auto" w:after="40"/>
      </w:pPr>
      <w:r>
        <w:rPr>
          <w:b/>
          <w:shd w:fill="D6E4F0" w:val="clear"/>
        </w:rPr>
        <w:t>E项错误：</w:t>
      </w:r>
    </w:p>
    <w:p>
      <w:pPr>
        <w:spacing w:line="360" w:lineRule="auto" w:after="40"/>
      </w:pPr>
      <w:r>
        <w:t>教材说明FATF有成员并要求成员实施建议、接受评估，但关于表现不佳辖区，教材写的是识别、列入灰/黑名单、监控整改和公开报告；没有赋予FATF因互评表现不佳而暂停成员资格的职权。不能把“存在成员”或名单措施扩张成E所述惩戒权。</w:t>
      </w:r>
    </w:p>
    <w:p>
      <w:pPr>
        <w:spacing w:line="360" w:lineRule="auto" w:after="120"/>
      </w:pPr>
      <w:r/>
    </w:p>
    <w:p>
      <w:pPr>
        <w:spacing w:line="360" w:lineRule="auto" w:after="40"/>
      </w:pPr>
      <w:r>
        <w:t>11. 金融情报机构（FIU）埃格蒙特集团的目标是为金融情报机构提供一个论坛，以实现以下目的：（选择三项。）</w:t>
      </w:r>
    </w:p>
    <w:p>
      <w:pPr>
        <w:spacing w:line="360" w:lineRule="auto" w:after="20"/>
      </w:pPr>
      <w:r>
        <w:t>A.在打击洗钱和恐怖主义融资的行动中安全地共享敏感信息</w:t>
      </w:r>
    </w:p>
    <w:p>
      <w:pPr>
        <w:spacing w:line="360" w:lineRule="auto" w:after="20"/>
      </w:pPr>
      <w:r>
        <w:t>B.营造促进各国相互信任的环境</w:t>
      </w:r>
    </w:p>
    <w:p>
      <w:pPr>
        <w:spacing w:line="360" w:lineRule="auto" w:after="20"/>
      </w:pPr>
      <w:r>
        <w:t>C.签署合作备忘录，承认并为具体问题的个案解决留出空间</w:t>
      </w:r>
    </w:p>
    <w:p>
      <w:pPr>
        <w:spacing w:line="360" w:lineRule="auto" w:after="20"/>
      </w:pPr>
      <w:r>
        <w:t>D.加强金融情报机构之间的全球合作</w:t>
      </w:r>
    </w:p>
    <w:p>
      <w:pPr>
        <w:spacing w:line="360" w:lineRule="auto" w:after="20"/>
      </w:pPr>
      <w:r>
        <w:t>E.提出打击金融犯罪的立法，包括反洗钱和反恐怖主义融资立法</w:t>
      </w:r>
    </w:p>
    <w:p>
      <w:pPr>
        <w:spacing w:line="360" w:lineRule="auto" w:after="40"/>
      </w:pPr>
      <w:r>
        <w:t>答案:A、B、D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识别埃格蒙特集团的官方核心职能</w:t>
      </w:r>
    </w:p>
    <w:p>
      <w:pPr>
        <w:spacing w:line="360" w:lineRule="auto" w:after="40"/>
      </w:pPr>
      <w:r>
        <w:rPr>
          <w:b/>
          <w:shd w:fill="D6E4F0" w:val="clear"/>
        </w:rPr>
        <w:t>核心解析：</w:t>
      </w:r>
    </w:p>
    <w:p>
      <w:pPr>
        <w:spacing w:line="360" w:lineRule="auto" w:after="40"/>
      </w:pPr>
      <w:r>
        <w:t>埃格蒙特集团（Egmont Group）是各国金融情报机构（FIU）的国际网络，其核心作用是落实全球反洗钱/反恐怖融资战略</w:t>
      </w:r>
      <w:r>
        <w:rPr>
          <w:sz w:val="15"/>
          <w:vertAlign w:val="superscript"/>
        </w:rPr>
        <w:t>P167</w:t>
      </w:r>
      <w:r>
        <w:t>。教材直接阐明其政策和指引聚焦于“</w:t>
      </w:r>
      <w:r>
        <w:rPr>
          <w:b/>
        </w:rPr>
        <w:t>改善合作</w:t>
      </w:r>
      <w:r>
        <w:t>”和“提升司法管辖区间的信任水平”，以此实现“</w:t>
      </w:r>
      <w:r>
        <w:rPr>
          <w:b/>
        </w:rPr>
        <w:t>敏感信息的安全共享</w:t>
      </w:r>
      <w:r>
        <w:t>”</w:t>
      </w:r>
      <w:r>
        <w:rPr>
          <w:sz w:val="15"/>
          <w:vertAlign w:val="superscript"/>
        </w:rPr>
        <w:t>P167</w:t>
      </w:r>
      <w:r>
        <w:t>。具体职能可归纳为四大支柱：信息共享、能力建设、协作和标准制定。题干问该集团为FIU提供论坛的目标，教材这一定义直接覆盖了A选项的“安全共享敏感信息”（信息共享与协作的产物）、B选项的“营造互信环境”（教材原文提到的提升信任水平）以及D选项的“加强全球合作”（协作职能），三个选项均精准落在埃格蒙特集团的职能定义边界内。</w:t>
      </w:r>
    </w:p>
    <w:p>
      <w:pPr>
        <w:spacing w:line="360" w:lineRule="auto" w:after="40"/>
      </w:pPr>
      <w:r>
        <w:rPr>
          <w:b/>
          <w:shd w:fill="D6E4F0" w:val="clear"/>
        </w:rPr>
        <w:t>错误项分析：</w:t>
      </w:r>
    </w:p>
    <w:p>
      <w:pPr>
        <w:spacing w:line="360" w:lineRule="auto" w:after="40"/>
      </w:pPr>
      <w:r>
        <w:rPr>
          <w:b/>
          <w:shd w:fill="D6E4F0" w:val="clear"/>
        </w:rPr>
        <w:t>C项错误：</w:t>
      </w:r>
    </w:p>
    <w:p>
      <w:pPr>
        <w:spacing w:line="360" w:lineRule="auto" w:after="40"/>
      </w:pPr>
      <w:r>
        <w:t>“签署合作备忘录”在教材中更多关联于司法协助条约（MLAT）的补充程序，用以简化引渡取证流程，而非埃格蒙特集团的核心职能。埃格蒙特集团更侧重金融情报机构之间的协作与信息共享。</w:t>
      </w:r>
    </w:p>
    <w:p>
      <w:pPr>
        <w:spacing w:line="360" w:lineRule="auto" w:after="40"/>
      </w:pPr>
      <w:r>
        <w:rPr>
          <w:b/>
          <w:shd w:fill="D6E4F0" w:val="clear"/>
        </w:rPr>
        <w:t>E项错误：</w:t>
      </w:r>
    </w:p>
    <w:p>
      <w:pPr>
        <w:spacing w:line="360" w:lineRule="auto" w:after="40"/>
      </w:pPr>
      <w:r>
        <w:t>教材提及埃格蒙特集团通过“标准制定”职能发布指南以提升金融情报运作效率，但“提出打击金融犯罪的立法”属于主权国家或相关政策制定机构的职权，埃格蒙特集团作为FIU合作网络不直接主导立法事务。</w:t>
      </w:r>
    </w:p>
    <w:p>
      <w:pPr>
        <w:spacing w:line="360" w:lineRule="auto" w:after="40"/>
      </w:pPr>
      <w:r>
        <w:rPr>
          <w:b/>
          <w:shd w:fill="D6E4F0" w:val="clear"/>
        </w:rPr>
        <w:t>易错提醒：</w:t>
      </w:r>
    </w:p>
    <w:p>
      <w:pPr>
        <w:spacing w:line="360" w:lineRule="auto" w:after="40"/>
      </w:pPr>
      <w:r>
        <w:t>区分“埃格蒙特集团（FIU合作平台）”与“FATF（国际标准制定者）”的角色边界：前者提供合作论坛以落实相关政策</w:t>
      </w:r>
      <w:r>
        <w:rPr>
          <w:sz w:val="15"/>
          <w:vertAlign w:val="superscript"/>
        </w:rPr>
        <w:t>P167</w:t>
      </w:r>
      <w:r>
        <w:t>，后者制定国际标准并推动各国建立相应法律框架</w:t>
      </w:r>
      <w:r>
        <w:rPr>
          <w:sz w:val="15"/>
          <w:vertAlign w:val="superscript"/>
        </w:rPr>
        <w:t>P149</w:t>
      </w:r>
      <w:r>
        <w:t>。</w:t>
      </w:r>
    </w:p>
    <w:p>
      <w:pPr>
        <w:spacing w:line="360" w:lineRule="auto" w:after="120"/>
      </w:pPr>
      <w:r/>
    </w:p>
    <w:p>
      <w:pPr>
        <w:spacing w:line="360" w:lineRule="auto" w:after="40"/>
      </w:pPr>
      <w:r>
        <w:t>12. 某银行的新任客户尽职调查(KYC)负责人特别注重强化其KYC计划中的风险管理部分，并提及了巴塞尔委员会的客户尽职调查(CDD)原则。以下哪两项描述了巴塞尔委员会客户尽职调查原则中所确立的KYC(了解你的客户)计划的关键改进？（选择两项。）</w:t>
      </w:r>
    </w:p>
    <w:p>
      <w:pPr>
        <w:spacing w:line="360" w:lineRule="auto" w:after="20"/>
      </w:pPr>
      <w:r>
        <w:t>A.对此前已发现并调查过可疑活动的代理行客户实施黑名单制度</w:t>
      </w:r>
    </w:p>
    <w:p>
      <w:pPr>
        <w:spacing w:line="360" w:lineRule="auto" w:after="20"/>
      </w:pPr>
      <w:r>
        <w:t>B.完善客户接受政策，更明确地识别高风险客户</w:t>
      </w:r>
    </w:p>
    <w:p>
      <w:pPr>
        <w:spacing w:line="360" w:lineRule="auto" w:after="20"/>
      </w:pPr>
      <w:r>
        <w:t>C.提高前台员工培训的频率</w:t>
      </w:r>
    </w:p>
    <w:p>
      <w:pPr>
        <w:spacing w:line="360" w:lineRule="auto" w:after="20"/>
      </w:pPr>
      <w:r>
        <w:t>D.加强客户身份识别程序，以适当识别信托、代名和受托账户</w:t>
      </w:r>
    </w:p>
    <w:p>
      <w:pPr>
        <w:spacing w:line="360" w:lineRule="auto" w:after="40"/>
      </w:pPr>
      <w:r>
        <w:t>答案:B、D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识别巴塞尔委员会KYC计划的不变关键要素</w:t>
      </w:r>
    </w:p>
    <w:p>
      <w:pPr>
        <w:spacing w:line="360" w:lineRule="auto" w:after="40"/>
      </w:pPr>
      <w:r>
        <w:rPr>
          <w:b/>
          <w:shd w:fill="D6E4F0" w:val="clear"/>
        </w:rPr>
        <w:t>核心解析：</w:t>
      </w:r>
    </w:p>
    <w:p>
      <w:pPr>
        <w:spacing w:line="360" w:lineRule="auto" w:after="40"/>
      </w:pPr>
      <w:r>
        <w:t>巴塞尔委员会（BCBS）确立的KYC计划包含四项不变的关键要素：</w:t>
      </w:r>
      <w:r>
        <w:rPr>
          <w:b/>
        </w:rPr>
        <w:t>客户身份识别（Customer identification）</w:t>
      </w:r>
      <w:r>
        <w:t>、</w:t>
      </w:r>
      <w:r>
        <w:rPr>
          <w:b/>
        </w:rPr>
        <w:t>客户接纳政策（Customer acceptance policy）</w:t>
      </w:r>
      <w:r>
        <w:t>、风险管理（Risk management）和持续监控（Ongoing monitoring）</w:t>
      </w:r>
      <w:r>
        <w:rPr>
          <w:sz w:val="15"/>
          <w:vertAlign w:val="superscript"/>
        </w:rPr>
        <w:t>P166</w:t>
      </w:r>
      <w:r>
        <w:t>。题干中，新任KYC负责人要依据巴塞尔委员会原则强化“风险管理部分”。选项B“完善客户接受政策，更明确地识别高风险客户”直接对应“</w:t>
      </w:r>
      <w:r>
        <w:rPr>
          <w:b/>
        </w:rPr>
        <w:t>客户接纳政策</w:t>
      </w:r>
      <w:r>
        <w:t>”这一要素——在接纳客户阶段就明确识别高风险客户，本身就是风险管理的核心前置手段。选项D“加强客户身份识别程序，以适当识别信托、代名和受托账户”直接对应“客户身份识别”这一要素——信托、代名和受托账户因结构复杂、所有权不透明，是高风险账户类型，加强此类账户的身份识别是KYC计划的关键改进方向。B和D分别覆盖了四项关键要素中的两项，且均直接服务于风险管理目标。</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代理行客户黑名单制度不属于巴塞尔委员会KYC计划的四项关键要素，而且是针对特定业务类型的管控措施。相比之下，B和D直接对应客户接纳政策和客户身份识别。</w:t>
      </w:r>
    </w:p>
    <w:p>
      <w:pPr>
        <w:spacing w:line="360" w:lineRule="auto" w:after="40"/>
      </w:pPr>
      <w:r>
        <w:rPr>
          <w:b/>
          <w:shd w:fill="D6E4F0" w:val="clear"/>
        </w:rPr>
        <w:t>C项错误：</w:t>
      </w:r>
    </w:p>
    <w:p>
      <w:pPr>
        <w:spacing w:line="360" w:lineRule="auto" w:after="40"/>
      </w:pPr>
      <w:r>
        <w:t>巴塞尔委员会早期原则声明中包含员工培训，但题干聚焦CDD原则中KYC计划的关键要素。选项C仅强调提高培训频率，B和D则直接对应客户接纳政策与客户身份识别这两项核心要素。</w:t>
      </w:r>
    </w:p>
    <w:p>
      <w:pPr>
        <w:spacing w:line="360" w:lineRule="auto" w:after="40"/>
      </w:pPr>
      <w:r>
        <w:rPr>
          <w:b/>
          <w:shd w:fill="D6E4F0" w:val="clear"/>
        </w:rPr>
        <w:t>易错提醒：</w:t>
      </w:r>
    </w:p>
    <w:p>
      <w:pPr>
        <w:spacing w:line="360" w:lineRule="auto" w:after="40"/>
      </w:pPr>
      <w:r>
        <w:t>巴塞尔委员会KYC计划的四项关键要素是“客户身份识别、风险管理、客户接纳政策、持续监控”</w:t>
      </w:r>
      <w:r>
        <w:rPr>
          <w:sz w:val="15"/>
          <w:vertAlign w:val="superscript"/>
        </w:rPr>
        <w:t>P166</w:t>
      </w:r>
      <w:r>
        <w:t>，容易与1988年原则声明的六项要点（客户身份识别、遵守法律、高道德标准、与执法合作、员工培训、记录保存和审计）混淆。前者是CDD原则下KYC计划的核心支柱，后者是更早期的宽泛原则声明。题干问的是CDD原则下的KYC计划改进，答案应从四项要素中找。</w:t>
      </w:r>
    </w:p>
    <w:p>
      <w:pPr>
        <w:spacing w:line="360" w:lineRule="auto" w:after="120"/>
      </w:pPr>
      <w:r/>
    </w:p>
    <w:p>
      <w:pPr>
        <w:spacing w:line="360" w:lineRule="auto" w:after="40"/>
      </w:pPr>
      <w:r>
        <w:t>13. 一家银行因未能采取合理措施建立和维持针对高风险客户（包括政治公众人物）的有效系统和控制措施而被罚款。银行本应防范哪些典型的金融犯罪风险？（选择三项。）</w:t>
      </w:r>
    </w:p>
    <w:p>
      <w:pPr>
        <w:spacing w:line="360" w:lineRule="auto" w:after="20"/>
      </w:pPr>
      <w:r>
        <w:t>A.收集足够信息以确定资金和财富来源。</w:t>
      </w:r>
    </w:p>
    <w:p>
      <w:pPr>
        <w:spacing w:line="360" w:lineRule="auto" w:after="20"/>
      </w:pPr>
      <w:r>
        <w:t>B.评估潜在及现有高风险客户所构成的洗钱风险水平。</w:t>
      </w:r>
    </w:p>
    <w:p>
      <w:pPr>
        <w:spacing w:line="360" w:lineRule="auto" w:after="20"/>
      </w:pPr>
      <w:r>
        <w:t>C.评估并审查负责客户入职的相关委员会会议纪要。</w:t>
      </w:r>
    </w:p>
    <w:p>
      <w:pPr>
        <w:spacing w:line="360" w:lineRule="auto" w:after="20"/>
      </w:pPr>
      <w:r>
        <w:t>D.确保有员工负责与有关当局联络，处理反恐融资相关事宜。</w:t>
      </w:r>
    </w:p>
    <w:p>
      <w:pPr>
        <w:spacing w:line="360" w:lineRule="auto" w:after="20"/>
      </w:pPr>
      <w:r>
        <w:t>E.确保其合规和反洗钱领域的资源与银行的发展同步增长。</w:t>
      </w:r>
    </w:p>
    <w:p>
      <w:pPr>
        <w:spacing w:line="360" w:lineRule="auto" w:after="40"/>
      </w:pPr>
      <w:r>
        <w:t>答案:A、B、E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高风险客户</w:t>
      </w:r>
      <w:r>
        <w:t>和</w:t>
      </w:r>
      <w:r>
        <w:rPr>
          <w:b/>
        </w:rPr>
        <w:t>政治公众人物（PEP）</w:t>
      </w:r>
      <w:r>
        <w:t>的</w:t>
      </w:r>
      <w:r>
        <w:rPr>
          <w:b/>
        </w:rPr>
        <w:t>强化尽职调查</w:t>
      </w:r>
      <w:r>
        <w:t>要求。</w:t>
      </w:r>
    </w:p>
    <w:p>
      <w:pPr>
        <w:spacing w:line="360" w:lineRule="auto" w:after="40"/>
      </w:pPr>
      <w:r>
        <w:rPr>
          <w:b/>
          <w:shd w:fill="D6E4F0" w:val="clear"/>
        </w:rPr>
        <w:t>核心解析：</w:t>
      </w:r>
    </w:p>
    <w:p>
      <w:pPr>
        <w:spacing w:line="360" w:lineRule="auto" w:after="40"/>
      </w:pPr>
      <w:r>
        <w:t>银行针对高风险客户和PEP应建立有效系统与控制</w:t>
      </w:r>
      <w:r>
        <w:rPr>
          <w:sz w:val="15"/>
          <w:vertAlign w:val="superscript"/>
        </w:rPr>
        <w:t>P168-P169</w:t>
      </w:r>
      <w:r>
        <w:t>。A要求收集</w:t>
      </w:r>
      <w:r>
        <w:rPr>
          <w:b/>
        </w:rPr>
        <w:t>资金来源和财富来源</w:t>
      </w:r>
      <w:r>
        <w:t>信息，是识别客户资产合法性和异常财富增长的基础；B要求评估潜在及现有高风险客户的</w:t>
      </w:r>
      <w:r>
        <w:rPr>
          <w:b/>
        </w:rPr>
        <w:t>洗钱风险水平</w:t>
      </w:r>
      <w:r>
        <w:t>，是实施风险分级和强化监控的前提；E要求合规与AML资源随银行业务和风险增长同步配置，是维持</w:t>
      </w:r>
      <w:r>
        <w:rPr>
          <w:b/>
        </w:rPr>
        <w:t>控制有效性</w:t>
      </w:r>
      <w:r>
        <w:t>的治理条件。</w:t>
      </w:r>
    </w:p>
    <w:p>
      <w:pPr>
        <w:spacing w:line="360" w:lineRule="auto" w:after="40"/>
      </w:pPr>
      <w:r>
        <w:t>D“安排员工与当局联络处理反恐融资事务”属于一般职责安排，并不能替代PEP的来源核查和风险评估。因此答案为A、B、E。</w:t>
      </w:r>
    </w:p>
    <w:p>
      <w:pPr>
        <w:spacing w:line="360" w:lineRule="auto" w:after="40"/>
      </w:pPr>
      <w:r>
        <w:rPr>
          <w:b/>
          <w:shd w:fill="D6E4F0" w:val="clear"/>
        </w:rPr>
        <w:t>错误项分析：</w:t>
      </w:r>
    </w:p>
    <w:p>
      <w:pPr>
        <w:spacing w:line="360" w:lineRule="auto" w:after="40"/>
      </w:pPr>
      <w:r>
        <w:rPr>
          <w:b/>
          <w:shd w:fill="D6E4F0" w:val="clear"/>
        </w:rPr>
        <w:t>C项错误：</w:t>
      </w:r>
    </w:p>
    <w:p>
      <w:pPr>
        <w:spacing w:line="360" w:lineRule="auto" w:after="40"/>
      </w:pPr>
      <w:r>
        <w:t>审查入职委员会会议纪要属于治理留痕，不能代替对客户本人实施EDD。</w:t>
      </w:r>
    </w:p>
    <w:p>
      <w:pPr>
        <w:spacing w:line="360" w:lineRule="auto" w:after="40"/>
      </w:pPr>
      <w:r>
        <w:rPr>
          <w:b/>
          <w:shd w:fill="D6E4F0" w:val="clear"/>
        </w:rPr>
        <w:t>D项错误：</w:t>
      </w:r>
    </w:p>
    <w:p>
      <w:pPr>
        <w:spacing w:line="360" w:lineRule="auto" w:after="40"/>
      </w:pPr>
      <w:r>
        <w:t>与当局联络是支持性合规职能，不是本题所问的高风险客户核心控制。</w:t>
      </w:r>
    </w:p>
    <w:p>
      <w:pPr>
        <w:spacing w:line="360" w:lineRule="auto" w:after="40"/>
      </w:pPr>
      <w:r>
        <w:rPr>
          <w:b/>
          <w:shd w:fill="D6E4F0" w:val="clear"/>
        </w:rPr>
        <w:t>易错提醒：</w:t>
      </w:r>
    </w:p>
    <w:p>
      <w:pPr>
        <w:spacing w:line="360" w:lineRule="auto" w:after="40"/>
      </w:pPr>
      <w:r>
        <w:t>看到PEP或高风险客户，应优先检查来源、风险评级、持续监控和资源配置</w:t>
      </w:r>
      <w:r>
        <w:rPr>
          <w:sz w:val="15"/>
          <w:vertAlign w:val="superscript"/>
        </w:rPr>
        <w:t>P168-P169</w:t>
      </w:r>
      <w:r>
        <w:t>，而不是一般性行政职责。</w:t>
      </w:r>
    </w:p>
    <w:p>
      <w:pPr>
        <w:spacing w:line="360" w:lineRule="auto" w:after="120"/>
      </w:pPr>
      <w:r/>
    </w:p>
    <w:p>
      <w:pPr>
        <w:spacing w:line="360" w:lineRule="auto" w:after="40"/>
      </w:pPr>
      <w:r>
        <w:t>14. 金融情报机构(FIU)埃格蒙特集团的哪些原则旨在最大限度地促进FIU之间的合作,以更有效地打击洗钱活动？（选择两项。）</w:t>
      </w:r>
    </w:p>
    <w:p>
      <w:pPr>
        <w:spacing w:line="360" w:lineRule="auto" w:after="20"/>
      </w:pPr>
      <w:r>
        <w:t>A.消除金融情报机构之间自发的信息共享,以减轻过多调查工作的负担</w:t>
      </w:r>
    </w:p>
    <w:p>
      <w:pPr>
        <w:spacing w:line="360" w:lineRule="auto" w:after="20"/>
      </w:pPr>
      <w:r>
        <w:t>B.金融情报机构之间的合作应始终通过指定的中间机构进行.</w:t>
      </w:r>
    </w:p>
    <w:p>
      <w:pPr>
        <w:spacing w:line="360" w:lineRule="auto" w:after="20"/>
      </w:pPr>
      <w:r>
        <w:t>C.信息交流应当以非正式的方式进行,不要求太多正式的先决条件.</w:t>
      </w:r>
    </w:p>
    <w:p>
      <w:pPr>
        <w:spacing w:line="360" w:lineRule="auto" w:after="20"/>
      </w:pPr>
      <w:r>
        <w:t>D.正式的埃格蒙特集团成员资格要求确保了符合条件的金融情报机构的高参与度</w:t>
      </w:r>
    </w:p>
    <w:p>
      <w:pPr>
        <w:spacing w:line="360" w:lineRule="auto" w:after="20"/>
      </w:pPr>
      <w:r>
        <w:t>E.金融情报机构有权独立签署谅解备忘录</w:t>
      </w:r>
    </w:p>
    <w:p>
      <w:pPr>
        <w:spacing w:line="360" w:lineRule="auto" w:after="40"/>
      </w:pPr>
      <w:r>
        <w:t>答案:C、E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埃格蒙特集团促进FIU间自主、非正式合作的核心原则</w:t>
      </w:r>
    </w:p>
    <w:p>
      <w:pPr>
        <w:spacing w:line="360" w:lineRule="auto" w:after="40"/>
      </w:pPr>
      <w:r>
        <w:rPr>
          <w:b/>
          <w:shd w:fill="D6E4F0" w:val="clear"/>
        </w:rPr>
        <w:t>核心解析：</w:t>
      </w:r>
    </w:p>
    <w:p>
      <w:pPr>
        <w:spacing w:line="360" w:lineRule="auto" w:after="40"/>
      </w:pPr>
      <w:r>
        <w:t>埃格蒙特集团的核心职能之一为</w:t>
      </w:r>
      <w:r>
        <w:rPr>
          <w:b/>
        </w:rPr>
        <w:t>标准制定（Standard-setting）</w:t>
      </w:r>
      <w:r>
        <w:t>，即制定指南以提高金融情报运作的效率和有效性，包括促进FIU的</w:t>
      </w:r>
      <w:r>
        <w:rPr>
          <w:b/>
        </w:rPr>
        <w:t>运作自主权（operational autonomy）</w:t>
      </w:r>
      <w:r>
        <w:rPr>
          <w:sz w:val="15"/>
          <w:vertAlign w:val="superscript"/>
        </w:rPr>
        <w:t>P167</w:t>
      </w:r>
      <w:r>
        <w:t>。运作自主权意味着FIU能够独立决定如何在法律框架内履行其职责，包括独立与外界建立合作关系，这与选项E“FIU有权独立签署谅解备忘录”直接吻合。同时，教材强调合规官可以且应当进行</w:t>
      </w:r>
      <w:r>
        <w:rPr>
          <w:b/>
        </w:rPr>
        <w:t>非正式合作（informal collaboration）</w:t>
      </w:r>
      <w:r>
        <w:rPr>
          <w:sz w:val="15"/>
          <w:vertAlign w:val="superscript"/>
        </w:rPr>
        <w:t>P238</w:t>
      </w:r>
      <w:r>
        <w:t>，这种非正式合作的原则向上推广至FIU层面时，即体现为不过分依赖正式先决条件的灵活信息交换机制，这与选项C“信息交流应当以非正式的方式进行，不要求太多正式的先决条件”高度一致。两项原则均旨在放宽条框限制，最大化FIU之间的合作效率。</w:t>
      </w:r>
    </w:p>
    <w:p>
      <w:pPr>
        <w:spacing w:line="360" w:lineRule="auto" w:after="40"/>
      </w:pPr>
      <w:r>
        <w:rPr>
          <w:b/>
          <w:shd w:fill="D6E4F0" w:val="clear"/>
        </w:rPr>
        <w:t>教材原句：</w:t>
      </w:r>
    </w:p>
    <w:p>
      <w:pPr>
        <w:spacing w:line="360" w:lineRule="auto" w:after="40"/>
      </w:pPr>
      <w:r>
        <w:t>"Standard-setting, which develops guidelines to improve the efficiency and effectiveness of financial intelligence operations, including promoting the operational autonomy of FIUs."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题干探讨的是如何“促进”合作，而非“消除”信息共享。教材指出，根据埃格蒙特集团原则，FIU应自发或应请求相互传播金融情报</w:t>
      </w:r>
      <w:r>
        <w:rPr>
          <w:sz w:val="15"/>
          <w:vertAlign w:val="superscript"/>
        </w:rPr>
        <w:t>P231</w:t>
      </w:r>
      <w:r>
        <w:t>。选项A主张消除自发性信息共享，与教材中的促进合作导向完全相反。</w:t>
      </w:r>
    </w:p>
    <w:p>
      <w:pPr>
        <w:spacing w:line="360" w:lineRule="auto" w:after="40"/>
      </w:pPr>
      <w:r>
        <w:rPr>
          <w:b/>
          <w:shd w:fill="D6E4F0" w:val="clear"/>
        </w:rPr>
        <w:t>B项错误：</w:t>
      </w:r>
    </w:p>
    <w:p>
      <w:pPr>
        <w:spacing w:line="360" w:lineRule="auto" w:after="40"/>
      </w:pPr>
      <w:r>
        <w:t>埃格蒙特集团倡导的是“促进运作自主权”</w:t>
      </w:r>
      <w:r>
        <w:rPr>
          <w:sz w:val="15"/>
          <w:vertAlign w:val="superscript"/>
        </w:rPr>
        <w:t>P167</w:t>
      </w:r>
      <w:r>
        <w:t>，且合作旨在让FIU能直接进行双边或多边信息交换</w:t>
      </w:r>
      <w:r>
        <w:rPr>
          <w:sz w:val="15"/>
          <w:vertAlign w:val="superscript"/>
        </w:rPr>
        <w:t>P168</w:t>
      </w:r>
      <w:r>
        <w:t>。选项B要求合作“始终”通过中间机构进行，这不仅削弱了FIU运作的独立性与灵活性，也不如直接合作更匹配埃格蒙特集团提倡的自主化、高效率标准。</w:t>
      </w:r>
    </w:p>
    <w:p>
      <w:pPr>
        <w:spacing w:line="360" w:lineRule="auto" w:after="40"/>
      </w:pPr>
      <w:r>
        <w:rPr>
          <w:b/>
          <w:shd w:fill="D6E4F0" w:val="clear"/>
        </w:rPr>
        <w:t>D项错误：</w:t>
      </w:r>
    </w:p>
    <w:p>
      <w:pPr>
        <w:spacing w:line="360" w:lineRule="auto" w:after="40"/>
      </w:pPr>
      <w:r>
        <w:t>题干中的关键词“正式……成员资格要求确保了……高参与度”在教材提供的关于埃格蒙特集团的章节中缺乏直接证据支撑。教材虽然提到了埃格蒙特集团与成员的合作，但并未将成员资格的高门槛与“合作参与度”直接划等号。相比之下，有直接原文支撑的选项C和E更吻合教材对促进合作原则的定义。</w:t>
      </w:r>
    </w:p>
    <w:p>
      <w:pPr>
        <w:spacing w:line="360" w:lineRule="auto" w:after="40"/>
      </w:pPr>
      <w:r>
        <w:rPr>
          <w:b/>
          <w:shd w:fill="D6E4F0" w:val="clear"/>
        </w:rPr>
        <w:t>易错提醒：</w:t>
      </w:r>
    </w:p>
    <w:p>
      <w:pPr>
        <w:spacing w:line="360" w:lineRule="auto" w:after="40"/>
      </w:pPr>
      <w:r>
        <w:t>注意区分FIU的“非正式合作”与“正式协议”并非互斥。非正式合作侧重于日常情报交流的灵活性，而独立签署谅解备忘录（MOU）是这种运作自主权在制度层面的体现——谅解备忘录往往是为了给日常的合作“兜底”或提供框架，而非设置繁琐的前置障碍。教材提到谅解备忘录可补充司法协助条约以简化程序</w:t>
      </w:r>
      <w:r>
        <w:rPr>
          <w:sz w:val="15"/>
          <w:vertAlign w:val="superscript"/>
        </w:rPr>
        <w:t>P233</w:t>
      </w:r>
      <w:r>
        <w:t>，这也说明了这两者是一体两面，目标一致。</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