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360" w:lineRule="auto" w:after="240"/>
      </w:pPr>
      <w:r>
        <w:t>试卷名称:CAMS CH05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以下哪一项是非政府组织（NGO）打击洗钱活动的常见策略？</w:t>
      </w:r>
    </w:p>
    <w:p>
      <w:pPr>
        <w:spacing w:line="360" w:lineRule="auto" w:after="20"/>
      </w:pPr>
      <w:r>
        <w:t>A.协助金融情报机构（FIU）分析可疑活动报告（SAR）</w:t>
      </w:r>
    </w:p>
    <w:p>
      <w:pPr>
        <w:spacing w:line="360" w:lineRule="auto" w:after="20"/>
      </w:pPr>
      <w:r>
        <w:t>B.直接在法庭上起诉洗钱者</w:t>
      </w:r>
    </w:p>
    <w:p>
      <w:pPr>
        <w:spacing w:line="360" w:lineRule="auto" w:after="20"/>
      </w:pPr>
      <w:r>
        <w:t>C.向各国政府提供财政援助，以加强其反洗钱工作</w:t>
      </w:r>
    </w:p>
    <w:p>
      <w:pPr>
        <w:spacing w:line="360" w:lineRule="auto" w:after="20"/>
      </w:pPr>
      <w:r>
        <w:t>D.提高对洗钱问题及其后果的认识</w:t>
      </w:r>
    </w:p>
    <w:p>
      <w:pPr>
        <w:spacing w:line="360" w:lineRule="auto" w:after="40"/>
      </w:pPr>
      <w:r>
        <w:t>答案:D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line="360" w:lineRule="auto" w:after="40"/>
      </w:pPr>
      <w:r>
        <w:rPr>
          <w:b/>
          <w:shd w:fill="D6E4F0" w:val="clear"/>
        </w:rPr>
        <w:t>考点：</w:t>
      </w:r>
    </w:p>
    <w:p>
      <w:pPr>
        <w:spacing w:line="360" w:lineRule="auto" w:after="40"/>
      </w:pPr>
      <w:r>
        <w:rPr>
          <w:b/>
        </w:rPr>
        <w:t>区分NGO与政府/执法/监管机构在反洗钱体系中的职能定位</w:t>
      </w:r>
    </w:p>
    <w:p>
      <w:pPr>
        <w:spacing w:line="360" w:lineRule="auto" w:after="40"/>
      </w:pPr>
      <w:r>
        <w:rPr>
          <w:b/>
          <w:shd w:fill="D6E4F0" w:val="clear"/>
        </w:rPr>
        <w:t>核心解析：</w:t>
      </w:r>
    </w:p>
    <w:p>
      <w:pPr>
        <w:spacing w:line="360" w:lineRule="auto" w:after="40"/>
      </w:pPr>
      <w:r>
        <w:t>透明国际（TI）属于</w:t>
      </w:r>
      <w:r>
        <w:rPr>
          <w:b/>
        </w:rPr>
        <w:t>非政府组织</w:t>
      </w:r>
      <w:r>
        <w:rPr>
          <w:sz w:val="15"/>
          <w:vertAlign w:val="superscript"/>
        </w:rPr>
        <w:t>P172</w:t>
      </w:r>
      <w:r>
        <w:t>，其工作方式包括政策倡导、研究和循证项目，以推动问责并预防腐败</w:t>
      </w:r>
      <w:r>
        <w:rPr>
          <w:sz w:val="15"/>
          <w:vertAlign w:val="superscript"/>
        </w:rPr>
        <w:t>P172</w:t>
      </w:r>
      <w:r>
        <w:t>。TI的腐败感知指数（CPI）也用于</w:t>
      </w:r>
      <w:r>
        <w:rPr>
          <w:b/>
        </w:rPr>
        <w:t>提高认识、推动加强全球透明度的改革</w:t>
      </w:r>
      <w:r>
        <w:rPr>
          <w:sz w:val="15"/>
          <w:vertAlign w:val="superscript"/>
        </w:rPr>
        <w:t>P173</w:t>
      </w:r>
      <w:r>
        <w:t>。这些做法说明，倡导、研究、预防项目和提高公众认识符合NGO参与反金融犯罪治理的通常方式。相比之下，A、B、C分别更接近FIU、执法或检察机关以及世界银行等国际金融机构的职能，因此D在给定选项中最符合题意。</w:t>
      </w:r>
    </w:p>
    <w:p>
      <w:pPr>
        <w:spacing w:line="360" w:lineRule="auto" w:after="40"/>
      </w:pPr>
      <w:r>
        <w:rPr>
          <w:b/>
          <w:shd w:fill="D6E4F0" w:val="clear"/>
        </w:rPr>
        <w:t>教材原句：</w:t>
      </w:r>
    </w:p>
    <w:p>
      <w:pPr>
        <w:spacing w:line="360" w:lineRule="auto" w:after="40"/>
      </w:pPr>
      <w:r>
        <w:t>"The CPI helps raise awareness and encourages reforms to strengthen transparency worldwide, making it a key tool in the fight against corruption."</w:t>
      </w:r>
    </w:p>
    <w:p>
      <w:pPr>
        <w:spacing w:line="360" w:lineRule="auto" w:after="40"/>
      </w:pPr>
      <w:r>
        <w:rPr>
          <w:b/>
          <w:shd w:fill="D6E4F0" w:val="clear"/>
        </w:rPr>
        <w:t>错误项分析：</w:t>
      </w:r>
    </w:p>
    <w:p>
      <w:pPr>
        <w:spacing w:line="360" w:lineRule="auto" w:after="40"/>
      </w:pPr>
      <w:r>
        <w:rPr>
          <w:b/>
          <w:shd w:fill="D6E4F0" w:val="clear"/>
        </w:rPr>
        <w:t>A项错误：</w:t>
      </w:r>
    </w:p>
    <w:p>
      <w:pPr>
        <w:spacing w:line="360" w:lineRule="auto" w:after="40"/>
      </w:pPr>
      <w:r>
        <w:t>各辖区应设立FIU分析可疑交易报告并支持执法调查，因此分析此类报告是FIU的核心职能</w:t>
      </w:r>
      <w:r>
        <w:rPr>
          <w:sz w:val="15"/>
          <w:vertAlign w:val="superscript"/>
        </w:rPr>
        <w:t>P149</w:t>
      </w:r>
      <w:r>
        <w:t>。NGO即使可能在个别项目中提供协助，这也不属于其打击洗钱活动的典型策略，因此A不如D匹配。</w:t>
      </w:r>
    </w:p>
    <w:p>
      <w:pPr>
        <w:spacing w:line="360" w:lineRule="auto" w:after="40"/>
      </w:pPr>
      <w:r>
        <w:rPr>
          <w:b/>
          <w:shd w:fill="D6E4F0" w:val="clear"/>
        </w:rPr>
        <w:t>B项错误：</w:t>
      </w:r>
    </w:p>
    <w:p>
      <w:pPr>
        <w:spacing w:line="360" w:lineRule="auto" w:after="40"/>
      </w:pPr>
      <w:r>
        <w:t>教材指出，执法部门负责开展调查，将洗钱者绳之以法并剥夺其资产</w:t>
      </w:r>
      <w:r>
        <w:rPr>
          <w:sz w:val="15"/>
          <w:vertAlign w:val="superscript"/>
        </w:rPr>
        <w:t>P228</w:t>
      </w:r>
      <w:r>
        <w:t>。直接在法庭上起诉涉及国家执法和检察权，不是NGO通常承担的职能，因此B错误。</w:t>
      </w:r>
    </w:p>
    <w:p>
      <w:pPr>
        <w:spacing w:line="360" w:lineRule="auto" w:after="40"/>
      </w:pPr>
      <w:r>
        <w:rPr>
          <w:b/>
          <w:shd w:fill="D6E4F0" w:val="clear"/>
        </w:rPr>
        <w:t>C项错误：</w:t>
      </w:r>
    </w:p>
    <w:p>
      <w:pPr>
        <w:spacing w:line="360" w:lineRule="auto" w:after="40"/>
      </w:pPr>
      <w:r>
        <w:t>教材明确将向发展中国家提供资金、政策和技术援助列为世界银行的职能，并将机构能力建设列入世界银行和IMF的AML/CFT工作</w:t>
      </w:r>
      <w:r>
        <w:rPr>
          <w:sz w:val="15"/>
          <w:vertAlign w:val="superscript"/>
        </w:rPr>
        <w:t>P163</w:t>
      </w:r>
      <w:r>
        <w:t>。因此，向政府提供财政援助更接近国际金融机构的职能，而不是本题所问NGO的常见策略。</w:t>
      </w:r>
    </w:p>
    <w:p>
      <w:pPr>
        <w:spacing w:line="360" w:lineRule="auto" w:after="40"/>
      </w:pPr>
      <w:r>
        <w:rPr>
          <w:b/>
          <w:shd w:fill="D6E4F0" w:val="clear"/>
        </w:rPr>
        <w:t>易错提醒：</w:t>
      </w:r>
    </w:p>
    <w:p>
      <w:pPr>
        <w:spacing w:line="360" w:lineRule="auto" w:after="40"/>
      </w:pPr>
      <w:r>
        <w:t>不同主体在金融犯罪治理中的作用不同：TI等NGO通过倡导、研究、预防项目及提高公众认识参与治理</w:t>
      </w:r>
      <w:r>
        <w:rPr>
          <w:sz w:val="15"/>
          <w:vertAlign w:val="superscript"/>
        </w:rPr>
        <w:t>P172-P173</w:t>
      </w:r>
      <w:r>
        <w:t>；FIU负责分析可疑交易报告</w:t>
      </w:r>
      <w:r>
        <w:rPr>
          <w:sz w:val="15"/>
          <w:vertAlign w:val="superscript"/>
        </w:rPr>
        <w:t>P149</w:t>
      </w:r>
      <w:r>
        <w:t>；执法和检察机关负责调查、追诉</w:t>
      </w:r>
      <w:r>
        <w:rPr>
          <w:sz w:val="15"/>
          <w:vertAlign w:val="superscript"/>
        </w:rPr>
        <w:t>P228</w:t>
      </w:r>
      <w:r>
        <w:t>；世界银行等国际金融机构提供资金、政策、技术援助和能力建设</w:t>
      </w:r>
      <w:r>
        <w:rPr>
          <w:sz w:val="15"/>
          <w:vertAlign w:val="superscript"/>
        </w:rPr>
        <w:t>P163</w:t>
      </w:r>
      <w:r>
        <w:t>。D是对NGO倡导和提高公众认识这一工作方式的概括。</w:t>
      </w:r>
    </w:p>
    <w:sectPr w:rsidR="00797F96" w:rsidSect="007705B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30425" w14:textId="77777777" w:rsidR="00D502DB" w:rsidRDefault="00D502DB" w:rsidP="004B1ED1">
      <w:r>
        <w:separator/>
      </w:r>
    </w:p>
  </w:endnote>
  <w:endnote w:type="continuationSeparator" w:id="0">
    <w:p w14:paraId="6CC9F455" w14:textId="77777777" w:rsidR="00D502DB" w:rsidRDefault="00D502DB" w:rsidP="004B1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92F4B" w14:textId="77777777" w:rsidR="00D502DB" w:rsidRDefault="00D502DB" w:rsidP="004B1ED1">
      <w:r>
        <w:separator/>
      </w:r>
    </w:p>
  </w:footnote>
  <w:footnote w:type="continuationSeparator" w:id="0">
    <w:p w14:paraId="68C42F1C" w14:textId="77777777" w:rsidR="00D502DB" w:rsidRDefault="00D502DB" w:rsidP="004B1E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4CB"/>
    <w:rsid w:val="00010147"/>
    <w:rsid w:val="00033C1A"/>
    <w:rsid w:val="00040102"/>
    <w:rsid w:val="000D33A7"/>
    <w:rsid w:val="000F230C"/>
    <w:rsid w:val="000F78D0"/>
    <w:rsid w:val="00131228"/>
    <w:rsid w:val="001462D8"/>
    <w:rsid w:val="0015668A"/>
    <w:rsid w:val="00177DC7"/>
    <w:rsid w:val="001A7D92"/>
    <w:rsid w:val="002077A3"/>
    <w:rsid w:val="00220F69"/>
    <w:rsid w:val="002B050E"/>
    <w:rsid w:val="0033201A"/>
    <w:rsid w:val="0033318A"/>
    <w:rsid w:val="003607DA"/>
    <w:rsid w:val="00367F68"/>
    <w:rsid w:val="00435F1E"/>
    <w:rsid w:val="00474E2F"/>
    <w:rsid w:val="00483F5C"/>
    <w:rsid w:val="004962E1"/>
    <w:rsid w:val="004A749E"/>
    <w:rsid w:val="004B1ED1"/>
    <w:rsid w:val="00526572"/>
    <w:rsid w:val="00573E0A"/>
    <w:rsid w:val="005A2A6F"/>
    <w:rsid w:val="005A7BEF"/>
    <w:rsid w:val="005D7D77"/>
    <w:rsid w:val="00607874"/>
    <w:rsid w:val="00646B58"/>
    <w:rsid w:val="0072289C"/>
    <w:rsid w:val="00745570"/>
    <w:rsid w:val="00753BC4"/>
    <w:rsid w:val="007705BD"/>
    <w:rsid w:val="00797F96"/>
    <w:rsid w:val="007D7360"/>
    <w:rsid w:val="007E7BE2"/>
    <w:rsid w:val="007F09BD"/>
    <w:rsid w:val="00837539"/>
    <w:rsid w:val="008644CB"/>
    <w:rsid w:val="008C76EC"/>
    <w:rsid w:val="008D6C8E"/>
    <w:rsid w:val="009E4018"/>
    <w:rsid w:val="00A13FA3"/>
    <w:rsid w:val="00A167EC"/>
    <w:rsid w:val="00A215D8"/>
    <w:rsid w:val="00B12FCC"/>
    <w:rsid w:val="00BF7B5A"/>
    <w:rsid w:val="00C67B09"/>
    <w:rsid w:val="00CA03E7"/>
    <w:rsid w:val="00CA0B43"/>
    <w:rsid w:val="00CC049E"/>
    <w:rsid w:val="00D502DB"/>
    <w:rsid w:val="00D935DD"/>
    <w:rsid w:val="00DA5DA4"/>
    <w:rsid w:val="00E13904"/>
    <w:rsid w:val="00E176BA"/>
    <w:rsid w:val="00E26F44"/>
    <w:rsid w:val="00E429AB"/>
    <w:rsid w:val="00E63479"/>
    <w:rsid w:val="00EC4A51"/>
    <w:rsid w:val="00EE0B23"/>
    <w:rsid w:val="00F5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D38201"/>
  <w14:defaultImageDpi w14:val="33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8644CB"/>
  </w:style>
  <w:style w:type="character" w:styleId="a4">
    <w:name w:val="annotation reference"/>
    <w:basedOn w:val="a0"/>
    <w:uiPriority w:val="99"/>
    <w:semiHidden/>
    <w:unhideWhenUsed/>
    <w:rsid w:val="00CA0B43"/>
    <w:rPr>
      <w:sz w:val="21"/>
      <w:szCs w:val="21"/>
    </w:rPr>
  </w:style>
  <w:style w:type="paragraph" w:styleId="a5">
    <w:name w:val="annotation text"/>
    <w:basedOn w:val="a"/>
    <w:link w:val="a6"/>
    <w:uiPriority w:val="99"/>
    <w:semiHidden/>
    <w:unhideWhenUsed/>
    <w:rsid w:val="00CA0B43"/>
    <w:pPr>
      <w:jc w:val="left"/>
    </w:pPr>
  </w:style>
  <w:style w:type="character" w:customStyle="1" w:styleId="a6">
    <w:name w:val="批注文字 字符"/>
    <w:basedOn w:val="a0"/>
    <w:link w:val="a5"/>
    <w:uiPriority w:val="99"/>
    <w:semiHidden/>
    <w:rsid w:val="00CA0B43"/>
  </w:style>
  <w:style w:type="paragraph" w:styleId="a7">
    <w:name w:val="annotation subject"/>
    <w:basedOn w:val="a5"/>
    <w:next w:val="a5"/>
    <w:link w:val="a8"/>
    <w:uiPriority w:val="99"/>
    <w:semiHidden/>
    <w:unhideWhenUsed/>
    <w:rsid w:val="00CA0B43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CA0B43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CA0B43"/>
    <w:rPr>
      <w:rFonts w:ascii="宋体" w:eastAsia="宋体"/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A0B43"/>
    <w:rPr>
      <w:rFonts w:ascii="宋体" w:eastAsia="宋体"/>
      <w:sz w:val="18"/>
      <w:szCs w:val="18"/>
    </w:rPr>
  </w:style>
  <w:style w:type="paragraph" w:styleId="ab">
    <w:name w:val="Document Map"/>
    <w:basedOn w:val="a"/>
    <w:link w:val="ac"/>
    <w:uiPriority w:val="99"/>
    <w:semiHidden/>
    <w:unhideWhenUsed/>
    <w:rsid w:val="00797F96"/>
    <w:rPr>
      <w:rFonts w:ascii="宋体" w:eastAsia="宋体"/>
    </w:rPr>
  </w:style>
  <w:style w:type="character" w:customStyle="1" w:styleId="ac">
    <w:name w:val="文档结构图 字符"/>
    <w:basedOn w:val="a0"/>
    <w:link w:val="ab"/>
    <w:uiPriority w:val="99"/>
    <w:semiHidden/>
    <w:rsid w:val="00797F96"/>
    <w:rPr>
      <w:rFonts w:ascii="宋体" w:eastAsia="宋体"/>
    </w:rPr>
  </w:style>
  <w:style w:type="table" w:styleId="ad">
    <w:name w:val="Table Grid"/>
    <w:basedOn w:val="a1"/>
    <w:uiPriority w:val="39"/>
    <w:rsid w:val="00797F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4B1E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B1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B1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B1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办公室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love980</dc:creator>
  <cp:keywords/>
  <dc:description/>
  <cp:lastModifiedBy>8613849083012</cp:lastModifiedBy>
  <cp:revision>54</cp:revision>
  <dcterms:created xsi:type="dcterms:W3CDTF">2017-05-14T09:31:00Z</dcterms:created>
  <dcterms:modified xsi:type="dcterms:W3CDTF">2021-12-30T09:44:00Z</dcterms:modified>
</cp:coreProperties>
</file>