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CH06</w:t>
      </w:r>
    </w:p>
    <w:p>
      <w:pPr>
        <w:spacing w:line="360" w:lineRule="auto" w:after="160"/>
      </w:pPr>
      <w:r>
        <w:t>一、单项选择题</w:t>
      </w:r>
    </w:p>
    <w:p>
      <w:pPr>
        <w:spacing w:line="360" w:lineRule="auto" w:after="40"/>
      </w:pPr>
      <w:r>
        <w:t>1. 一家大型国际金融机构在美国和欧盟均有业务。一笔涉及一位拥有美国和法国双重国籍的高净值客户的跨境交易因其中介机构位于高风险地区而引发担忧。鉴于该交易受美国《银行保密法》（BSA）和美国海外资产控制办公室（OFAC）的要求，以及欧盟《第六号反洗钱指令》（6AMLD）和欧洲银行管理局（EBA）法规的约束，合规团队应采取何种最佳措施来确保合规？</w:t>
      </w:r>
    </w:p>
    <w:p>
      <w:pPr>
        <w:spacing w:line="360" w:lineRule="auto" w:after="20"/>
      </w:pPr>
      <w:r>
        <w:t>A.仅遵循欧盟法规,因为受益人位于法国</w:t>
      </w:r>
    </w:p>
    <w:p>
      <w:pPr>
        <w:spacing w:line="360" w:lineRule="auto" w:after="20"/>
      </w:pPr>
      <w:r>
        <w:t>B.实施一种同时满足美国和欧盟AFC规定的双重合规方法</w:t>
      </w:r>
    </w:p>
    <w:p>
      <w:pPr>
        <w:spacing w:line="360" w:lineRule="auto" w:after="20"/>
      </w:pPr>
      <w:r>
        <w:t>C.遵从最严格的监管制度以简化合规流程</w:t>
      </w:r>
    </w:p>
    <w:p>
      <w:pPr>
        <w:spacing w:line="360" w:lineRule="auto" w:after="20"/>
      </w:pPr>
      <w:r>
        <w:t>D.仅遵循美国法规,因为交易起源于美国</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跨境交易下多司法管辖区法规并行的合规判断</w:t>
      </w:r>
    </w:p>
    <w:p>
      <w:pPr>
        <w:spacing w:line="360" w:lineRule="auto" w:after="40"/>
      </w:pPr>
      <w:r>
        <w:rPr>
          <w:b/>
          <w:shd w:fill="D6E4F0" w:val="clear"/>
        </w:rPr>
        <w:t>核心解析：</w:t>
      </w:r>
    </w:p>
    <w:p>
      <w:pPr>
        <w:spacing w:line="360" w:lineRule="auto" w:after="40"/>
      </w:pPr>
      <w:r>
        <w:t>在跨境交易的金融犯罪合规（AFC）框架下，当一笔交易涉及多个司法管辖区时，合规团队需要</w:t>
      </w:r>
      <w:r>
        <w:rPr>
          <w:b/>
        </w:rPr>
        <w:t>同时考虑所有相关地区的法规</w:t>
      </w:r>
      <w:r>
        <w:t>。教材案例中，Hiroshi因机构的跨境交易涉及美国和欧盟，便同时参考了这两地的AFC法规</w:t>
      </w:r>
      <w:r>
        <w:rPr>
          <w:sz w:val="15"/>
          <w:vertAlign w:val="superscript"/>
        </w:rPr>
        <w:t>P178</w:t>
      </w:r>
      <w:r>
        <w:t>。同样，教材也指出，国际金融机构需协调全球政策与当地法规，美国《银行保密法》要求外国金融机构的美国分行满足其最低标准</w:t>
      </w:r>
      <w:r>
        <w:rPr>
          <w:sz w:val="15"/>
          <w:vertAlign w:val="superscript"/>
        </w:rPr>
        <w:t>P194</w:t>
      </w:r>
      <w:r>
        <w:t>。本题中，客户拥有美法双重国籍，中介机构位于高风险地区，交易同时触发美国BSA/OFAC要求和欧盟6AMLD/EBA法规，因此实施</w:t>
      </w:r>
      <w:r>
        <w:rPr>
          <w:b/>
        </w:rPr>
        <w:t>同时满足美国和欧盟AFC规定的双重合规方法</w:t>
      </w:r>
      <w:r>
        <w:t>，最能确保全面合规。</w:t>
      </w:r>
    </w:p>
    <w:p>
      <w:pPr>
        <w:spacing w:line="360" w:lineRule="auto" w:after="40"/>
      </w:pPr>
      <w:r>
        <w:rPr>
          <w:b/>
          <w:shd w:fill="D6E4F0" w:val="clear"/>
        </w:rPr>
        <w:t>教材原句：</w:t>
      </w:r>
    </w:p>
    <w:p>
      <w:pPr>
        <w:spacing w:line="360" w:lineRule="auto" w:after="40"/>
      </w:pPr>
      <w:r>
        <w:t>"Hiroshi references the AFC regulations in both the US and EU because some of the cross-border transactions involve those jurisdictions."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题干中客户拥有美国和法国双重国籍，且交易同时受美国BSA/OFAC和欧盟法规约束，仅遵循欧盟法规会遗漏美国一方的合规义务。教材案例也支持，当跨境交易涉及多个地区时，需同时考虑相关司法管辖区的法规</w:t>
      </w:r>
      <w:r>
        <w:rPr>
          <w:sz w:val="15"/>
          <w:vertAlign w:val="superscript"/>
        </w:rPr>
        <w:t>P178</w:t>
      </w:r>
      <w:r>
        <w:t>。</w:t>
      </w:r>
    </w:p>
    <w:p>
      <w:pPr>
        <w:spacing w:line="360" w:lineRule="auto" w:after="40"/>
      </w:pPr>
      <w:r>
        <w:rPr>
          <w:b/>
          <w:shd w:fill="D6E4F0" w:val="clear"/>
        </w:rPr>
        <w:t>C项错误：</w:t>
      </w:r>
    </w:p>
    <w:p>
      <w:pPr>
        <w:spacing w:line="360" w:lineRule="auto" w:after="40"/>
      </w:pPr>
      <w:r>
        <w:t>教材描述的国际金融机构实践方式是“为集团政策附加特定司法管辖区的附录”</w:t>
      </w:r>
      <w:r>
        <w:rPr>
          <w:sz w:val="15"/>
          <w:vertAlign w:val="superscript"/>
        </w:rPr>
        <w:t>P194</w:t>
      </w:r>
      <w:r>
        <w:t>，而非简单地遵从最严格制度。当各地标准不同时，合规的关键是同时满足各方要求，而不是用一个层级覆盖另一个层级，该选项的“简化”思路与教材中处理差异性的协调框架不直接匹配。</w:t>
      </w:r>
    </w:p>
    <w:p>
      <w:pPr>
        <w:spacing w:line="360" w:lineRule="auto" w:after="40"/>
      </w:pPr>
      <w:r>
        <w:rPr>
          <w:b/>
          <w:shd w:fill="D6E4F0" w:val="clear"/>
        </w:rPr>
        <w:t>D项错误：</w:t>
      </w:r>
    </w:p>
    <w:p>
      <w:pPr>
        <w:spacing w:line="360" w:lineRule="auto" w:after="40"/>
      </w:pPr>
      <w:r>
        <w:t>题干未明确提及交易起源于美国，且不论起源地，交易已明确受美国与欧盟双重法规约束。仅遵循美国法规会遗漏欧盟的合规要求，与教材中因跨境交易涉及多个地区而需同时考虑相关法规的原则不一致</w:t>
      </w:r>
      <w:r>
        <w:rPr>
          <w:sz w:val="15"/>
          <w:vertAlign w:val="superscript"/>
        </w:rPr>
        <w:t>P178</w:t>
      </w:r>
      <w:r>
        <w:t>。</w:t>
      </w:r>
    </w:p>
    <w:p>
      <w:pPr>
        <w:spacing w:line="360" w:lineRule="auto" w:after="40"/>
      </w:pPr>
      <w:r>
        <w:rPr>
          <w:b/>
          <w:shd w:fill="D6E4F0" w:val="clear"/>
        </w:rPr>
        <w:t>易错提醒：</w:t>
      </w:r>
    </w:p>
    <w:p>
      <w:pPr>
        <w:spacing w:line="360" w:lineRule="auto" w:after="40"/>
      </w:pPr>
      <w:r>
        <w:t>容易误将“最严格的制度”当作安全选择。但教材框架下，跨境合规的关键是“并行满足所有涉及司法辖区的要求”，而非用单一标准替代。教材以香港10%受益所有人规则为例，说明国际银行通过为集团政策附加“特定司法管辖区附录”来逐条满足高标准</w:t>
      </w:r>
      <w:r>
        <w:rPr>
          <w:sz w:val="15"/>
          <w:vertAlign w:val="superscript"/>
        </w:rPr>
        <w:t>P194</w:t>
      </w:r>
      <w:r>
        <w:t>，而非全盘替换成最严规则。</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