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CH06</w:t>
      </w:r>
    </w:p>
    <w:p>
      <w:pPr>
        <w:spacing w:line="360" w:lineRule="auto" w:after="160"/>
      </w:pPr>
      <w:r>
        <w:t>一、单项选择题</w:t>
      </w:r>
    </w:p>
    <w:p>
      <w:pPr>
        <w:spacing w:line="360" w:lineRule="auto" w:after="40"/>
      </w:pPr>
      <w:r>
        <w:t>1. 在反洗钱调查的背景下,关于数据隐私的哪项陈述最为准确？</w:t>
      </w:r>
    </w:p>
    <w:p>
      <w:pPr>
        <w:spacing w:line="360" w:lineRule="auto" w:after="20"/>
      </w:pPr>
      <w:r>
        <w:t>A.组织在向相关金融情报机构(FIU)提交可疑活动报告之前,必须证明客户已同意信息共享.</w:t>
      </w:r>
    </w:p>
    <w:p>
      <w:pPr>
        <w:spacing w:line="360" w:lineRule="auto" w:after="20"/>
      </w:pPr>
      <w:r>
        <w:t>B.任何成为可疑报告对象的客户均有权要求对其个人数据进行遮蔽处理.</w:t>
      </w:r>
    </w:p>
    <w:p>
      <w:pPr>
        <w:spacing w:line="360" w:lineRule="auto" w:after="20"/>
      </w:pPr>
      <w:r>
        <w:t>C.金融情报机构应记录可疑活动报告中所包含的个人数据与其他机构共享的目的.</w:t>
      </w:r>
    </w:p>
    <w:p>
      <w:pPr>
        <w:spacing w:line="360" w:lineRule="auto" w:after="20"/>
      </w:pPr>
      <w:r>
        <w:t>D.数据隐私法禁止金融机构在所有司法管辖区为反洗钱调查目的而共享信息.</w:t>
      </w:r>
    </w:p>
    <w:p>
      <w:pPr>
        <w:spacing w:line="360" w:lineRule="auto" w:after="40"/>
      </w:pPr>
      <w:r>
        <w:t>答案:C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AML信息共享中的合法目的、透明度与数据主体权利限制</w:t>
      </w:r>
    </w:p>
    <w:p>
      <w:pPr>
        <w:spacing w:line="360" w:lineRule="auto" w:after="40"/>
      </w:pPr>
      <w:r>
        <w:rPr>
          <w:b/>
          <w:shd w:fill="D6E4F0" w:val="clear"/>
        </w:rPr>
        <w:t>核心解析：</w:t>
      </w:r>
    </w:p>
    <w:p>
      <w:pPr>
        <w:spacing w:line="360" w:lineRule="auto" w:after="40"/>
      </w:pPr>
      <w:r>
        <w:t>教材关于数据隐私的基本原则是：客户数据应安全保存，只能与</w:t>
      </w:r>
      <w:r>
        <w:rPr>
          <w:b/>
        </w:rPr>
        <w:t>有必要知悉且有权限的人共享</w:t>
      </w:r>
      <w:r>
        <w:rPr>
          <w:sz w:val="15"/>
          <w:vertAlign w:val="superscript"/>
        </w:rPr>
        <w:t>P209</w:t>
      </w:r>
      <w:r>
        <w:t>；很多司法管辖区也禁止将为一个目的收集的数据转作其他目的使用</w:t>
      </w:r>
      <w:r>
        <w:rPr>
          <w:sz w:val="15"/>
          <w:vertAlign w:val="superscript"/>
        </w:rPr>
        <w:t>P209</w:t>
      </w:r>
      <w:r>
        <w:t>。这说明，在AML调查中共享个人数据并非完全禁止，但必须有</w:t>
      </w:r>
      <w:r>
        <w:rPr>
          <w:b/>
        </w:rPr>
        <w:t>明确、合法且可说明的处理目的</w:t>
      </w:r>
      <w:r>
        <w:t>。</w:t>
      </w:r>
    </w:p>
    <w:p>
      <w:pPr>
        <w:spacing w:line="360" w:lineRule="auto" w:after="40"/>
      </w:pPr>
      <w:r>
        <w:t>GDPR进一步要求组织告知数据主体其个人数据为何以及如何被使用</w:t>
      </w:r>
      <w:r>
        <w:rPr>
          <w:sz w:val="15"/>
          <w:vertAlign w:val="superscript"/>
        </w:rPr>
        <w:t>P213</w:t>
      </w:r>
      <w:r>
        <w:t>。同时，欧盟第2024/1624号条例允许在AML合规目的下共享或处理相关个人信息</w:t>
      </w:r>
      <w:r>
        <w:rPr>
          <w:sz w:val="15"/>
          <w:vertAlign w:val="superscript"/>
        </w:rPr>
        <w:t>P213</w:t>
      </w:r>
      <w:r>
        <w:t>，FATF建议也要求金融机构促进为AML/CFT目的的信息共享</w:t>
      </w:r>
      <w:r>
        <w:rPr>
          <w:sz w:val="15"/>
          <w:vertAlign w:val="superscript"/>
        </w:rPr>
        <w:t>P148</w:t>
      </w:r>
      <w:r>
        <w:t>。在给定选项中，C项最能体现</w:t>
      </w:r>
      <w:r>
        <w:rPr>
          <w:b/>
        </w:rPr>
        <w:t>目的限制、透明度和合法AML信息共享之间的平衡</w:t>
      </w:r>
      <w:r>
        <w:t>。不过，目的限制和透明度原则不能自动推出所有FIU都负有完全相同的记录义务；具体记录要求仍取决于适用法律和制度。</w:t>
      </w:r>
    </w:p>
    <w:p>
      <w:pPr>
        <w:spacing w:line="360" w:lineRule="auto" w:after="40"/>
      </w:pPr>
      <w:r>
        <w:rPr>
          <w:b/>
          <w:shd w:fill="D6E4F0" w:val="clear"/>
        </w:rPr>
        <w:t>教材原句：</w:t>
      </w:r>
    </w:p>
    <w:p>
      <w:pPr>
        <w:spacing w:line="360" w:lineRule="auto" w:after="40"/>
      </w:pPr>
      <w:r>
        <w:t>"The GDPR requires organizations to inform data subjects about why and how the organization will use their personal data."</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提交SAR通常基于法定反洗钱义务，不以客户“选择加入”或同意为前提。处理个人数据的合法依据不限于同意，履行法定义务本身可以构成独立依据；否则，要求先征得被报告客户同意还可能妨碍调查并造成通风报信风险。</w:t>
      </w:r>
    </w:p>
    <w:p>
      <w:pPr>
        <w:spacing w:line="360" w:lineRule="auto" w:after="40"/>
      </w:pPr>
      <w:r>
        <w:rPr>
          <w:b/>
          <w:shd w:fill="D6E4F0" w:val="clear"/>
        </w:rPr>
        <w:t>B项错误：</w:t>
      </w:r>
    </w:p>
    <w:p>
      <w:pPr>
        <w:spacing w:line="360" w:lineRule="auto" w:after="40"/>
      </w:pPr>
      <w:r>
        <w:t>教材明确说明数据主体权利并非绝对，反洗钱法中的“泄密”罪限制了向数据主体披露处理活动细节的程度</w:t>
      </w:r>
      <w:r>
        <w:rPr>
          <w:sz w:val="15"/>
          <w:vertAlign w:val="superscript"/>
        </w:rPr>
        <w:t>P213</w:t>
      </w:r>
      <w:r>
        <w:t>。成为SAR对象的客户要求删除数据，将与反洗钱调查义务产生直接冲突。题干支持隐私权在此受到反洗钱义务限制的框架，而非赋予客户绝对删除权。</w:t>
      </w:r>
    </w:p>
    <w:p>
      <w:pPr>
        <w:spacing w:line="360" w:lineRule="auto" w:after="40"/>
      </w:pPr>
      <w:r>
        <w:rPr>
          <w:b/>
          <w:shd w:fill="D6E4F0" w:val="clear"/>
        </w:rPr>
        <w:t>D项错误：</w:t>
      </w:r>
    </w:p>
    <w:p>
      <w:pPr>
        <w:spacing w:line="360" w:lineRule="auto" w:after="40"/>
      </w:pPr>
      <w:r>
        <w:t>教材多处说明反洗钱框架下允许信息共享：FATF建议要求金融机构促进为反洗钱目的的信息共享</w:t>
      </w:r>
      <w:r>
        <w:rPr>
          <w:sz w:val="15"/>
          <w:vertAlign w:val="superscript"/>
        </w:rPr>
        <w:t>P148</w:t>
      </w:r>
      <w:r>
        <w:t>，欧盟法规也规定了为反洗钱合规目的共享个人信息的“允许情形”（permissible instances）</w:t>
      </w:r>
      <w:r>
        <w:rPr>
          <w:sz w:val="15"/>
          <w:vertAlign w:val="superscript"/>
        </w:rPr>
        <w:t>P213</w:t>
      </w:r>
      <w:r>
        <w:t>。“在所有司法管辖区禁止”过于绝对，与教材中“有限制但允许”的框架不匹配。</w:t>
      </w:r>
    </w:p>
    <w:p>
      <w:pPr>
        <w:spacing w:line="360" w:lineRule="auto" w:after="40"/>
      </w:pPr>
      <w:r>
        <w:rPr>
          <w:b/>
          <w:shd w:fill="D6E4F0" w:val="clear"/>
        </w:rPr>
        <w:t>易错提醒：</w:t>
      </w:r>
    </w:p>
    <w:p>
      <w:pPr>
        <w:spacing w:line="360" w:lineRule="auto" w:after="40"/>
      </w:pPr>
      <w:r>
        <w:t>数据隐私法不是AML信息共享的绝对障碍，也不意味着提交SAR前必须征得客户同意。正确理解是：在合法AML目的下可以共享和处理相关个人信息，但必须受到目的限制、透明度、权限控制以及反泄密规则的共同约束。</w:t>
      </w:r>
    </w:p>
    <w:p>
      <w:pPr>
        <w:spacing w:line="360" w:lineRule="auto" w:after="120"/>
      </w:pPr>
      <w:r/>
    </w:p>
    <w:p>
      <w:pPr>
        <w:spacing w:line="360" w:lineRule="auto" w:after="40"/>
      </w:pPr>
      <w:r>
        <w:t>2. 反洗钱/打击资助恐怖主义部门通常会汇总有关客户活动和产品使用情况的信息，这些信息可能对组织的其他部门有价值。在允许该部门在内部传达此类信息之前，组织必须审查：</w:t>
      </w:r>
    </w:p>
    <w:p>
      <w:pPr>
        <w:spacing w:line="360" w:lineRule="auto" w:after="20"/>
      </w:pPr>
      <w:r>
        <w:t>A.企业范围风险评估和员工手册，以确认其中是否存在共享商业敏感客户数据的限制</w:t>
      </w:r>
    </w:p>
    <w:p>
      <w:pPr>
        <w:spacing w:line="360" w:lineRule="auto" w:after="20"/>
      </w:pPr>
      <w:r>
        <w:t>B.客户的风险评级，以避免分享涉及高风险客户的资料</w:t>
      </w:r>
    </w:p>
    <w:p>
      <w:pPr>
        <w:spacing w:line="360" w:lineRule="auto" w:after="20"/>
      </w:pPr>
      <w:r>
        <w:t>C.组织的反洗钱合规政策，以确保客户数据能够在组织内部及跨境轻松共享</w:t>
      </w:r>
    </w:p>
    <w:p>
      <w:pPr>
        <w:spacing w:line="360" w:lineRule="auto" w:after="20"/>
      </w:pPr>
      <w:r>
        <w:t>D.相关司法管辖区适用的数据隐私法律，以及组织的数据安全和隐私政策中规定的任何限制</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内部共享客户数据前对法律、权限和机构政策限制的审查</w:t>
      </w:r>
    </w:p>
    <w:p>
      <w:pPr>
        <w:spacing w:line="360" w:lineRule="auto" w:after="40"/>
      </w:pPr>
      <w:r>
        <w:rPr>
          <w:b/>
          <w:shd w:fill="D6E4F0" w:val="clear"/>
        </w:rPr>
        <w:t>核心解析：</w:t>
      </w:r>
    </w:p>
    <w:p>
      <w:pPr>
        <w:spacing w:line="360" w:lineRule="auto" w:after="40"/>
      </w:pPr>
      <w:r>
        <w:t>题干中的客户活动和产品使用信息属于受保护的客户数据。教材指出，金融机构对客户数据的安全和隐私负有高度注意义务，并且通常承担相应法律义务</w:t>
      </w:r>
      <w:r>
        <w:rPr>
          <w:sz w:val="15"/>
          <w:vertAlign w:val="superscript"/>
        </w:rPr>
        <w:t>P209</w:t>
      </w:r>
      <w:r>
        <w:t>；客户数据只能向</w:t>
      </w:r>
      <w:r>
        <w:rPr>
          <w:b/>
        </w:rPr>
        <w:t>确有知悉需要、并具有相应许可和查看权限的人员共享</w:t>
      </w:r>
      <w:r>
        <w:rPr>
          <w:sz w:val="15"/>
          <w:vertAlign w:val="superscript"/>
        </w:rPr>
        <w:t>P209</w:t>
      </w:r>
      <w:r>
        <w:t>。教材还说明，许多司法管辖区禁止将为某一目的收集的数据擅自用于其他目的，组织也应制定数据分类、保存和销毁政策</w:t>
      </w:r>
      <w:r>
        <w:rPr>
          <w:sz w:val="15"/>
          <w:vertAlign w:val="superscript"/>
        </w:rPr>
        <w:t>P209</w:t>
      </w:r>
      <w:r>
        <w:t>。因此，在允许反洗钱/打击资助恐怖主义部门向组织其他部门传达客户信息前，组织必须审查适用的数据隐私法律以及自身数据安全和隐私政策规定的共享权限与限制。选项D同时覆盖外部法律和内部政策两个层面，最完整地对应教材要求。</w:t>
      </w:r>
    </w:p>
    <w:p>
      <w:pPr>
        <w:spacing w:line="360" w:lineRule="auto" w:after="40"/>
      </w:pPr>
      <w:r>
        <w:rPr>
          <w:b/>
          <w:shd w:fill="D6E4F0" w:val="clear"/>
        </w:rPr>
        <w:t>教材原句：</w:t>
      </w:r>
    </w:p>
    <w:p>
      <w:pPr>
        <w:spacing w:line="360" w:lineRule="auto" w:after="40"/>
      </w:pPr>
      <w:r>
        <w:t>"Your customer data must be stored securely and should only be shared with others who need to know and have the requisite permission and authority to view it."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企业范围风险评估用于系统识别和评估机构各项业务面临的洗钱和恐怖融资风险</w:t>
      </w:r>
      <w:r>
        <w:rPr>
          <w:sz w:val="15"/>
          <w:vertAlign w:val="superscript"/>
        </w:rPr>
        <w:t>P158</w:t>
      </w:r>
      <w:r>
        <w:t>，并不是决定客户数据能否在内部共享的直接依据。员工手册也不能替代适用的数据隐私法律和专门的数据安全与隐私政策。A既遗漏外部法律要求，也没有准确指向客户数据共享的授权和权限限制。</w:t>
      </w:r>
    </w:p>
    <w:p>
      <w:pPr>
        <w:spacing w:line="360" w:lineRule="auto" w:after="40"/>
      </w:pPr>
      <w:r>
        <w:rPr>
          <w:b/>
          <w:shd w:fill="D6E4F0" w:val="clear"/>
        </w:rPr>
        <w:t>B项错误：</w:t>
      </w:r>
    </w:p>
    <w:p>
      <w:pPr>
        <w:spacing w:line="360" w:lineRule="auto" w:after="40"/>
      </w:pPr>
      <w:r>
        <w:t>教材指出，高风险客户可能需要接受强化尽职调查和加强监控</w:t>
      </w:r>
      <w:r>
        <w:rPr>
          <w:sz w:val="15"/>
          <w:vertAlign w:val="superscript"/>
        </w:rPr>
        <w:t>P270</w:t>
      </w:r>
      <w:r>
        <w:t>。客户风险评级决定的是尽调、监控以及客户资料更新的强度，而不是为了避免分享而排除高风险客户的数据。是否可以共享仍取决于知悉需要、授权权限、适用法律和机构政策。</w:t>
      </w:r>
    </w:p>
    <w:p>
      <w:pPr>
        <w:spacing w:line="360" w:lineRule="auto" w:after="40"/>
      </w:pPr>
      <w:r>
        <w:rPr>
          <w:b/>
          <w:shd w:fill="D6E4F0" w:val="clear"/>
        </w:rPr>
        <w:t>C项错误：</w:t>
      </w:r>
    </w:p>
    <w:p>
      <w:pPr>
        <w:spacing w:line="360" w:lineRule="auto" w:after="40"/>
      </w:pPr>
      <w:r>
        <w:t>教材要求客户数据只能向确有知悉需要且获授权的人员共享</w:t>
      </w:r>
      <w:r>
        <w:rPr>
          <w:sz w:val="15"/>
          <w:vertAlign w:val="superscript"/>
        </w:rPr>
        <w:t>P209</w:t>
      </w:r>
      <w:r>
        <w:t>，数据隐私法还可能对个人数据的跨境传输施加条件</w:t>
      </w:r>
      <w:r>
        <w:rPr>
          <w:sz w:val="15"/>
          <w:vertAlign w:val="superscript"/>
        </w:rPr>
        <w:t>P209</w:t>
      </w:r>
      <w:r>
        <w:t>。审查的目的不是确保数据能够在组织内部及跨境“轻松共享”，而是确认共享是否合法、必要并符合权限及政策限制。</w:t>
      </w:r>
    </w:p>
    <w:p>
      <w:pPr>
        <w:spacing w:line="360" w:lineRule="auto" w:after="40"/>
      </w:pPr>
      <w:r>
        <w:rPr>
          <w:b/>
          <w:shd w:fill="D6E4F0" w:val="clear"/>
        </w:rPr>
        <w:t>易错提醒：</w:t>
      </w:r>
    </w:p>
    <w:p>
      <w:pPr>
        <w:spacing w:line="360" w:lineRule="auto" w:after="40"/>
      </w:pPr>
      <w:r>
        <w:t>信息具有反洗钱用途，不等于可以在组织内部自由流通。判断本题时应区分两个问题：客户风险评级决定尽调和监控力度；数据隐私法律、知悉需要、访问权限以及机构数据政策决定信息能否共享。题干问的是后者，因此应选择同时涵盖外部法律和内部政策限制的D。</w:t>
      </w:r>
    </w:p>
    <w:p>
      <w:pPr>
        <w:spacing w:line="360" w:lineRule="auto" w:after="120"/>
      </w:pPr>
      <w:r/>
    </w:p>
    <w:p>
      <w:pPr>
        <w:spacing w:line="360" w:lineRule="auto" w:after="40"/>
      </w:pPr>
      <w:r>
        <w:t>3. 在进行反洗钱调查时,审计员应遵循哪项关于保护隐私和数据的原则？</w:t>
      </w:r>
    </w:p>
    <w:p>
      <w:pPr>
        <w:spacing w:line="360" w:lineRule="auto" w:after="20"/>
      </w:pPr>
      <w:r>
        <w:t>A.反洗钱法和数据保护隐私法不应相互排斥.</w:t>
      </w:r>
    </w:p>
    <w:p>
      <w:pPr>
        <w:spacing w:line="360" w:lineRule="auto" w:after="20"/>
      </w:pPr>
      <w:r>
        <w:t>B.在收集证据期间,隐私法不如当地的反洗钱法重要.</w:t>
      </w:r>
    </w:p>
    <w:p>
      <w:pPr>
        <w:spacing w:line="360" w:lineRule="auto" w:after="20"/>
      </w:pPr>
      <w:r>
        <w:t>C.恐怖主义融资在数据保护的背景下更为重要,并凌驾于法律之上.</w:t>
      </w:r>
    </w:p>
    <w:p>
      <w:pPr>
        <w:spacing w:line="360" w:lineRule="auto" w:after="20"/>
      </w:pPr>
      <w:r>
        <w:t>D.各国应明确反洗钱和数据保护隐私法不相平衡之处.</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反洗钱义务与个人数据隐私保护并非互斥，须同时遵从</w:t>
      </w:r>
    </w:p>
    <w:p>
      <w:pPr>
        <w:spacing w:line="360" w:lineRule="auto" w:after="40"/>
      </w:pPr>
      <w:r>
        <w:rPr>
          <w:b/>
          <w:shd w:fill="D6E4F0" w:val="clear"/>
        </w:rPr>
        <w:t>核心解析：</w:t>
      </w:r>
    </w:p>
    <w:p>
      <w:pPr>
        <w:spacing w:line="360" w:lineRule="auto" w:after="40"/>
      </w:pPr>
      <w:r>
        <w:t>组织必须</w:t>
      </w:r>
      <w:r>
        <w:rPr>
          <w:b/>
        </w:rPr>
        <w:t>同时遵守反洗钱义务和《通用数据保护条例》</w:t>
      </w:r>
      <w:r>
        <w:rPr>
          <w:sz w:val="15"/>
          <w:vertAlign w:val="superscript"/>
        </w:rPr>
        <w:t>P212</w:t>
      </w:r>
      <w:r>
        <w:t>；处理客户身份数据以履行反洗钱/反恐怖融资要求时，也必须兼顾数据保护要求</w:t>
      </w:r>
      <w:r>
        <w:rPr>
          <w:sz w:val="15"/>
          <w:vertAlign w:val="superscript"/>
        </w:rPr>
        <w:t>P263</w:t>
      </w:r>
      <w:r>
        <w:t>。因此，两类法律并非二选一。审计员开展反洗钱调查时，既不能因调查目的而忽视隐私法，也不能让隐私要求完全阻止调查，而应兼顾两方面的法律义务。选项A所说的“不应相互排斥”最符合这一原则。该原则同样适用于特定非金融行业处理客户隐私与反洗钱报告要求的情形，以及金融犯罪防控专业人员平衡有效检测与数据隐私义务的情形。</w:t>
      </w:r>
    </w:p>
    <w:p>
      <w:pPr>
        <w:spacing w:line="360" w:lineRule="auto" w:after="40"/>
      </w:pPr>
      <w:r>
        <w:rPr>
          <w:b/>
          <w:shd w:fill="D6E4F0" w:val="clear"/>
        </w:rPr>
        <w:t>教材原句：</w:t>
      </w:r>
    </w:p>
    <w:p>
      <w:pPr>
        <w:spacing w:line="360" w:lineRule="auto" w:after="40"/>
      </w:pPr>
      <w:r>
        <w:t>"Therefore, organizations must adhere to AML obligations and the GDPR."</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反洗钱义务与隐私义务需要相互兼顾，而不是比较哪一方更重要。隐私团队还会协助第二道防线起草数据保护影响评估，并就个人数据处理提供建议</w:t>
      </w:r>
      <w:r>
        <w:rPr>
          <w:sz w:val="15"/>
          <w:vertAlign w:val="superscript"/>
        </w:rPr>
        <w:t>P263</w:t>
      </w:r>
      <w:r>
        <w:t>。选项B将两类法律作高低排序，与二者并行适用的原则不一致。</w:t>
      </w:r>
    </w:p>
    <w:p>
      <w:pPr>
        <w:spacing w:line="360" w:lineRule="auto" w:after="40"/>
      </w:pPr>
      <w:r>
        <w:rPr>
          <w:b/>
          <w:shd w:fill="D6E4F0" w:val="clear"/>
        </w:rPr>
        <w:t>C项错误：</w:t>
      </w:r>
    </w:p>
    <w:p>
      <w:pPr>
        <w:spacing w:line="360" w:lineRule="auto" w:after="40"/>
      </w:pPr>
      <w:r>
        <w:t>教材将恐怖主义融资列为FATF指定的上游犯罪之一，也将其纳入反洗钱法的战略优先事项，但这并不意味着恐怖主义融资可以“凌驾于法律之上”。教材在GDPR章节强调反洗钱义务与数据保护需同时遵守</w:t>
      </w:r>
      <w:r>
        <w:rPr>
          <w:sz w:val="15"/>
          <w:vertAlign w:val="superscript"/>
        </w:rPr>
        <w:t>P212</w:t>
      </w:r>
      <w:r>
        <w:t>，而非任何犯罪类型可以使某一法域高于另一法域。选项C错误地把恐怖主义融资置于适用法律之上。</w:t>
      </w:r>
    </w:p>
    <w:p>
      <w:pPr>
        <w:spacing w:line="360" w:lineRule="auto" w:after="40"/>
      </w:pPr>
      <w:r>
        <w:rPr>
          <w:b/>
          <w:shd w:fill="D6E4F0" w:val="clear"/>
        </w:rPr>
        <w:t>D项错误：</w:t>
      </w:r>
    </w:p>
    <w:p>
      <w:pPr>
        <w:spacing w:line="360" w:lineRule="auto" w:after="40"/>
      </w:pPr>
      <w:r>
        <w:t>题干询问审计员在调查中应遵循的原则，重点是组织在实践中兼顾两类要求，并同时遵守反洗钱义务和GDPR</w:t>
      </w:r>
      <w:r>
        <w:rPr>
          <w:sz w:val="15"/>
          <w:vertAlign w:val="superscript"/>
        </w:rPr>
        <w:t>P212、P263</w:t>
      </w:r>
      <w:r>
        <w:t>。选项D却转向各国应如何明确法律之间的不平衡之处，既改变了义务主体，也没有直接回答审计员应如何行动。</w:t>
      </w:r>
    </w:p>
    <w:p>
      <w:pPr>
        <w:spacing w:line="360" w:lineRule="auto" w:after="40"/>
      </w:pPr>
      <w:r>
        <w:rPr>
          <w:b/>
          <w:shd w:fill="D6E4F0" w:val="clear"/>
        </w:rPr>
        <w:t>易错提醒：</w:t>
      </w:r>
    </w:p>
    <w:p>
      <w:pPr>
        <w:spacing w:line="360" w:lineRule="auto" w:after="40"/>
      </w:pPr>
      <w:r>
        <w:t>容易混淆“平衡两类要求”与“明确哪些地方不平衡”。前者要求组织在实践中同时履行两方面义务</w:t>
      </w:r>
      <w:r>
        <w:rPr>
          <w:sz w:val="15"/>
          <w:vertAlign w:val="superscript"/>
        </w:rPr>
        <w:t>P263</w:t>
      </w:r>
      <w:r>
        <w:t>；后者只是识别不一致之处，并不能回答审计员应遵循什么原则。原文中的“balance both requirements”强调的是兼顾，而不是确认二者存在不平衡。</w:t>
      </w:r>
    </w:p>
    <w:p>
      <w:pPr>
        <w:spacing w:line="360" w:lineRule="auto" w:after="120"/>
      </w:pPr>
      <w:r/>
    </w:p>
    <w:p>
      <w:pPr>
        <w:spacing w:line="360" w:lineRule="auto" w:after="40"/>
      </w:pPr>
      <w:r>
        <w:t>4. 一家国际银行的总部设在西班牙马德里，在美国纽约市设有办事处。马德里办事处正在调查一笔来自纽约办事处客户的交易，并询问纽约办事处能否提供有关该个人的更多相关信息。经过进一步调查，纽约办事处发现他们在前一年已就该个人提交了一份可疑活动报告（SAR）。在分享所请求的信息之前，需要考虑哪些因素？（选择两项。）</w:t>
      </w:r>
    </w:p>
    <w:p>
      <w:pPr>
        <w:spacing w:line="360" w:lineRule="auto" w:after="20"/>
      </w:pPr>
      <w:r>
        <w:t>A.外国银行在跨境分享任何信息时，必须始终向其本国的反金融犯罪机构申请批准。</w:t>
      </w:r>
    </w:p>
    <w:p>
      <w:pPr>
        <w:spacing w:line="360" w:lineRule="auto" w:after="20"/>
      </w:pPr>
      <w:r>
        <w:t>B.该银行应将此情况报告给金融犯罪执法网络（FinCEN），并在收到正式指导后才能分享相关信息。</w:t>
      </w:r>
    </w:p>
    <w:p>
      <w:pPr>
        <w:spacing w:line="360" w:lineRule="auto" w:after="20"/>
      </w:pPr>
      <w:r>
        <w:t>C.银行应考虑司法管辖区的隐私要求以及自身的政策和程序，以确定要分享哪些信息。</w:t>
      </w:r>
    </w:p>
    <w:p>
      <w:pPr>
        <w:spacing w:line="360" w:lineRule="auto" w:after="20"/>
      </w:pPr>
      <w:r>
        <w:t>D.该信息仅应在确有必要知晓的情况下进行分享。</w:t>
      </w:r>
    </w:p>
    <w:p>
      <w:pPr>
        <w:spacing w:line="360" w:lineRule="auto" w:after="40"/>
      </w:pPr>
      <w:r>
        <w:t>答案:C、D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跨境内部共享客户信息时的隐私合规、权限控制与SAR保密</w:t>
      </w:r>
    </w:p>
    <w:p>
      <w:pPr>
        <w:spacing w:line="360" w:lineRule="auto" w:after="40"/>
      </w:pPr>
      <w:r>
        <w:rPr>
          <w:b/>
          <w:shd w:fill="D6E4F0" w:val="clear"/>
        </w:rPr>
        <w:t>核心解析：</w:t>
      </w:r>
    </w:p>
    <w:p>
      <w:pPr>
        <w:spacing w:line="360" w:lineRule="auto" w:after="40"/>
      </w:pPr>
      <w:r>
        <w:t>题干请求的是有关客户的“更多相关信息”，同时提示纽约办事处曾提交SAR。判断前应区分</w:t>
      </w:r>
      <w:r>
        <w:rPr>
          <w:b/>
        </w:rPr>
        <w:t>底层客户/交易信息与SAR本身或其存在事实</w:t>
      </w:r>
      <w:r>
        <w:t>。教材直接指出，数据隐私法可能限制个人数据跨境传输，除非满足相应条件，金融机构必须确保跨境传输不违反适用法律</w:t>
      </w:r>
      <w:r>
        <w:rPr>
          <w:sz w:val="15"/>
          <w:vertAlign w:val="superscript"/>
        </w:rPr>
        <w:t>P209</w:t>
      </w:r>
      <w:r>
        <w:t>。因此，马德里与纽约之间分享哪些客户信息，必须结合相关司法管辖区的隐私要求及银行内部的权限和程序判断，C成立。</w:t>
      </w:r>
    </w:p>
    <w:p>
      <w:pPr>
        <w:spacing w:line="360" w:lineRule="auto" w:after="40"/>
      </w:pPr>
      <w:r>
        <w:t>教材还规定，客户数据只能向确有需要知晓且具有相应许可和权限的人共享</w:t>
      </w:r>
      <w:r>
        <w:rPr>
          <w:sz w:val="15"/>
          <w:vertAlign w:val="superscript"/>
        </w:rPr>
        <w:t>P209</w:t>
      </w:r>
      <w:r>
        <w:t>。对于SAR，限制更严格：即使在同一金融机构内部，也不是所有人员都应访问SAR信息，并应避免向未经授权方披露SAR</w:t>
      </w:r>
      <w:r>
        <w:rPr>
          <w:sz w:val="15"/>
          <w:vertAlign w:val="superscript"/>
        </w:rPr>
        <w:t>P352</w:t>
      </w:r>
      <w:r>
        <w:t>。因此，马德里办事处是否因本次调查而具备必要知悉和授权，是共享前必须确认的事项，D成立。教材另有条文说明存在促进金融机构内部跨境共享SAR的机制</w:t>
      </w:r>
      <w:r>
        <w:rPr>
          <w:sz w:val="15"/>
          <w:vertAlign w:val="superscript"/>
        </w:rPr>
        <w:t>P183</w:t>
      </w:r>
      <w:r>
        <w:t>，但这不是无条件授权；隐私、内部权限和SAR保密要求仍需同时满足。</w:t>
      </w:r>
    </w:p>
    <w:p>
      <w:pPr>
        <w:spacing w:line="360" w:lineRule="auto" w:after="40"/>
      </w:pPr>
      <w:r>
        <w:rPr>
          <w:b/>
          <w:shd w:fill="D6E4F0" w:val="clear"/>
        </w:rPr>
        <w:t>教材原句：</w:t>
      </w:r>
    </w:p>
    <w:p>
      <w:pPr>
        <w:spacing w:line="360" w:lineRule="auto" w:after="40"/>
      </w:pPr>
      <w:r>
        <w:t>"Your customer data must be stored securely and should only be shared with others who need to know and have the requisite permission and authority to view it."</w:t>
      </w:r>
      <w:r>
        <w:rPr>
          <w:sz w:val="15"/>
          <w:vertAlign w:val="superscript"/>
        </w:rPr>
        <w:t>P209</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金融机构内部可以存在跨境共享SAR的机制</w:t>
      </w:r>
      <w:r>
        <w:rPr>
          <w:sz w:val="15"/>
          <w:vertAlign w:val="superscript"/>
        </w:rPr>
        <w:t>P183</w:t>
      </w:r>
      <w:r>
        <w:t>，但跨境传输个人数据仍须满足适用隐私法的条件</w:t>
      </w:r>
      <w:r>
        <w:rPr>
          <w:sz w:val="15"/>
          <w:vertAlign w:val="superscript"/>
        </w:rPr>
        <w:t>P209</w:t>
      </w:r>
      <w:r>
        <w:t>。具体审批要求取决于适用规则，不能一概表述为分享任何信息都必须先取得本国AFC机构批准。</w:t>
      </w:r>
    </w:p>
    <w:p>
      <w:pPr>
        <w:spacing w:line="360" w:lineRule="auto" w:after="40"/>
      </w:pPr>
      <w:r>
        <w:rPr>
          <w:b/>
          <w:shd w:fill="D6E4F0" w:val="clear"/>
        </w:rPr>
        <w:t>B项错误：</w:t>
      </w:r>
    </w:p>
    <w:p>
      <w:pPr>
        <w:spacing w:line="360" w:lineRule="auto" w:after="40"/>
      </w:pPr>
      <w:r>
        <w:t>FinCEN负责收集、分析和传播金融交易数据，并发布法规、执行合规和监督AML计划</w:t>
      </w:r>
      <w:r>
        <w:rPr>
          <w:sz w:val="15"/>
          <w:vertAlign w:val="superscript"/>
        </w:rPr>
        <w:t>P184</w:t>
      </w:r>
      <w:r>
        <w:t>。但内部跨境共享前的直接判断重点是隐私条件、必要知悉和授权范围，而不是每次都先向FinCEN报告并等待个案指导。</w:t>
      </w:r>
    </w:p>
    <w:p>
      <w:pPr>
        <w:spacing w:line="360" w:lineRule="auto" w:after="40"/>
      </w:pPr>
      <w:r>
        <w:rPr>
          <w:b/>
          <w:shd w:fill="D6E4F0" w:val="clear"/>
        </w:rPr>
        <w:t>易错提醒：</w:t>
      </w:r>
    </w:p>
    <w:p>
      <w:pPr>
        <w:spacing w:line="360" w:lineRule="auto" w:after="40"/>
      </w:pPr>
      <w:r>
        <w:t>“可促进内部跨境共享”不等于“可以向集团内任何人披露”。应先判断请求对象是否有调查职责、是否确有必要知悉、是否取得相应权限，以及跨境传输是否满足两地隐私法</w:t>
      </w:r>
      <w:r>
        <w:rPr>
          <w:sz w:val="15"/>
          <w:vertAlign w:val="superscript"/>
        </w:rPr>
        <w:t>P209</w:t>
      </w:r>
      <w:r>
        <w:t>。还要区分底层客户/交易材料与SAR本身：既有SAR的存在会提高保密要求，不能把一般客户信息共享规则理解为对SAR的无限制共享</w:t>
      </w:r>
      <w:r>
        <w:rPr>
          <w:sz w:val="15"/>
          <w:vertAlign w:val="superscript"/>
        </w:rPr>
        <w:t>P352</w:t>
      </w:r>
      <w:r>
        <w:t>。</w:t>
      </w:r>
    </w:p>
    <w:p>
      <w:pPr>
        <w:spacing w:line="360" w:lineRule="auto" w:after="120"/>
      </w:pPr>
      <w:r/>
    </w:p>
    <w:p>
      <w:pPr>
        <w:spacing w:line="360" w:lineRule="auto" w:after="40"/>
      </w:pPr>
      <w:r>
        <w:t>5. 哪些法律法规领域对反洗钱/打击资助恐怖主义应用的影响最大?（选择三项。）</w:t>
      </w:r>
    </w:p>
    <w:p>
      <w:pPr>
        <w:spacing w:line="360" w:lineRule="auto" w:after="20"/>
      </w:pPr>
      <w:r>
        <w:t>A.信息安全、数据隐私和网络安全</w:t>
      </w:r>
    </w:p>
    <w:p>
      <w:pPr>
        <w:spacing w:line="360" w:lineRule="auto" w:after="20"/>
      </w:pPr>
      <w:r>
        <w:t>B.外汇管制以及贵重宝石和金属交易</w:t>
      </w:r>
    </w:p>
    <w:p>
      <w:pPr>
        <w:spacing w:line="360" w:lineRule="auto" w:after="20"/>
      </w:pPr>
      <w:r>
        <w:t>C.监察专员和反垄断机构</w:t>
      </w:r>
    </w:p>
    <w:p>
      <w:pPr>
        <w:spacing w:line="360" w:lineRule="auto" w:after="20"/>
      </w:pPr>
      <w:r>
        <w:t>D.电子合同与生物特征签名的接受</w:t>
      </w:r>
    </w:p>
    <w:p>
      <w:pPr>
        <w:spacing w:line="360" w:lineRule="auto" w:after="20"/>
      </w:pPr>
      <w:r>
        <w:t>E.消费者保护、金融普惠以及环境、社会和治理</w:t>
      </w:r>
    </w:p>
    <w:p>
      <w:pPr>
        <w:spacing w:line="360" w:lineRule="auto" w:after="40"/>
      </w:pPr>
      <w:r>
        <w:t>答案:A、B、E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识别对金融机构反洗钱合规有直接影响的法律法规领域</w:t>
      </w:r>
    </w:p>
    <w:p>
      <w:pPr>
        <w:spacing w:line="360" w:lineRule="auto" w:after="40"/>
      </w:pPr>
      <w:r>
        <w:rPr>
          <w:b/>
          <w:shd w:fill="D6E4F0" w:val="clear"/>
        </w:rPr>
        <w:t>核心解析：</w:t>
      </w:r>
    </w:p>
    <w:p>
      <w:pPr>
        <w:spacing w:line="360" w:lineRule="auto" w:after="40"/>
      </w:pPr>
      <w:r>
        <w:t>教材明确说明，金融机构受到</w:t>
      </w:r>
      <w:r>
        <w:rPr>
          <w:b/>
        </w:rPr>
        <w:t>隐私和数据安全法律</w:t>
      </w:r>
      <w:r>
        <w:t>约束</w:t>
      </w:r>
      <w:r>
        <w:rPr>
          <w:sz w:val="15"/>
          <w:vertAlign w:val="superscript"/>
        </w:rPr>
        <w:t>P209</w:t>
      </w:r>
      <w:r>
        <w:t>，跨境交易又受到</w:t>
      </w:r>
      <w:r>
        <w:rPr>
          <w:b/>
        </w:rPr>
        <w:t>资金流动、外汇/货币管制、制裁和报告法规</w:t>
      </w:r>
      <w:r>
        <w:t>影响</w:t>
      </w:r>
      <w:r>
        <w:rPr>
          <w:sz w:val="15"/>
          <w:vertAlign w:val="superscript"/>
        </w:rPr>
        <w:t>P217</w:t>
      </w:r>
      <w:r>
        <w:t>，贵金属和宝石经销商还属于</w:t>
      </w:r>
      <w:r>
        <w:rPr>
          <w:b/>
        </w:rPr>
        <w:t>高风险、受AML/CFT义务约束的行业</w:t>
      </w:r>
      <w:r>
        <w:rPr>
          <w:sz w:val="15"/>
          <w:vertAlign w:val="superscript"/>
        </w:rPr>
        <w:t>P119、P197</w:t>
      </w:r>
      <w:r>
        <w:t>。消费者保护、金融普惠与ESG也分别与AFC法规发生交叉或趋于融合</w:t>
      </w:r>
      <w:r>
        <w:rPr>
          <w:sz w:val="15"/>
          <w:vertAlign w:val="superscript"/>
        </w:rPr>
        <w:t>P213-P214</w:t>
      </w:r>
      <w:r>
        <w:t>。因此，A、B、E分别体现了</w:t>
      </w:r>
      <w:r>
        <w:rPr>
          <w:b/>
        </w:rPr>
        <w:t>数据隐私</w:t>
      </w:r>
      <w:r>
        <w:t>、</w:t>
      </w:r>
      <w:r>
        <w:rPr>
          <w:b/>
        </w:rPr>
        <w:t>跨境资金与行业监管</w:t>
      </w:r>
      <w:r>
        <w:t>以及</w:t>
      </w:r>
      <w:r>
        <w:rPr>
          <w:b/>
        </w:rPr>
        <w:t>交叉监管</w:t>
      </w:r>
      <w:r>
        <w:t>领域对AML/CFT应用的直接影响。D描述的是开户环节使用的</w:t>
      </w:r>
      <w:r>
        <w:rPr>
          <w:b/>
        </w:rPr>
        <w:t>电子身份验证和生物识别技术</w:t>
      </w:r>
      <w:r>
        <w:rPr>
          <w:sz w:val="15"/>
          <w:vertAlign w:val="superscript"/>
        </w:rPr>
        <w:t>P404</w:t>
      </w:r>
      <w:r>
        <w:t>，不能据此把“电子合同与生物特征签名的接受”认定为直接影响AML/CFT应用的法律法规领域。</w:t>
      </w:r>
    </w:p>
    <w:p>
      <w:pPr>
        <w:spacing w:line="360" w:lineRule="auto" w:after="40"/>
      </w:pPr>
      <w:r>
        <w:rPr>
          <w:b/>
          <w:shd w:fill="D6E4F0" w:val="clear"/>
        </w:rPr>
        <w:t>教材原句：</w:t>
      </w:r>
    </w:p>
    <w:p>
      <w:pPr>
        <w:spacing w:line="360" w:lineRule="auto" w:after="40"/>
      </w:pPr>
      <w:r>
        <w:t>"Many jurisdictions have specific national privacy or data security laws, including laws and regulations that apply to financial institutions."</w:t>
      </w:r>
      <w:r>
        <w:rPr>
          <w:sz w:val="15"/>
          <w:vertAlign w:val="superscript"/>
        </w:rPr>
        <w:t>P209</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rPr>
          <w:b/>
        </w:rPr>
        <w:t>监察专员和反垄断机构</w:t>
      </w:r>
      <w:r>
        <w:t>主要处理行政申诉、公平竞争等问题，其职责与A、B、E所涉及的</w:t>
      </w:r>
      <w:r>
        <w:rPr>
          <w:b/>
        </w:rPr>
        <w:t>数据保护、跨境资金、行业义务和交叉监管</w:t>
      </w:r>
      <w:r>
        <w:t>相比，对AML/CFT应用的影响</w:t>
      </w:r>
      <w:r>
        <w:rPr>
          <w:b/>
        </w:rPr>
        <w:t>不够直接</w:t>
      </w:r>
      <w:r>
        <w:t>。</w:t>
      </w:r>
    </w:p>
    <w:p>
      <w:pPr>
        <w:spacing w:line="360" w:lineRule="auto" w:after="40"/>
      </w:pPr>
      <w:r>
        <w:rPr>
          <w:b/>
          <w:shd w:fill="D6E4F0" w:val="clear"/>
        </w:rPr>
        <w:t>易错提醒：</w:t>
      </w:r>
    </w:p>
    <w:p>
      <w:pPr>
        <w:spacing w:line="360" w:lineRule="auto" w:after="40"/>
      </w:pPr>
      <w:r>
        <w:t>注意区分</w:t>
      </w:r>
      <w:r>
        <w:rPr>
          <w:b/>
        </w:rPr>
        <w:t>“反洗钱应关注的业务风险”</w:t>
      </w:r>
      <w:r>
        <w:t>（如贵金属交易商、跨境外汇管制）</w:t>
      </w:r>
      <w:r>
        <w:rPr>
          <w:sz w:val="15"/>
          <w:vertAlign w:val="superscript"/>
        </w:rPr>
        <w:t>P119、P217</w:t>
      </w:r>
      <w:r>
        <w:t>与</w:t>
      </w:r>
      <w:r>
        <w:rPr>
          <w:b/>
        </w:rPr>
        <w:t>“对反洗钱合规框架本身有直接影响的法律领域”</w:t>
      </w:r>
      <w:r>
        <w:t>（如数据隐私法、消费者保护法）</w:t>
      </w:r>
      <w:r>
        <w:rPr>
          <w:sz w:val="15"/>
          <w:vertAlign w:val="superscript"/>
        </w:rPr>
        <w:t>P209、P213</w:t>
      </w:r>
      <w:r>
        <w:t>。</w:t>
      </w:r>
      <w:r>
        <w:rPr>
          <w:b/>
        </w:rPr>
        <w:t>前者</w:t>
      </w:r>
      <w:r>
        <w:t>是合规工作要去识别和管理的对象，</w:t>
      </w:r>
      <w:r>
        <w:rPr>
          <w:b/>
        </w:rPr>
        <w:t>后者</w:t>
      </w:r>
      <w:r>
        <w:t>则直接约束金融机构如何开展合规工作。</w:t>
      </w:r>
    </w:p>
    <w:p>
      <w:pPr>
        <w:spacing w:line="360" w:lineRule="auto" w:after="120"/>
      </w:pPr>
      <w:r/>
    </w:p>
    <w:p>
      <w:pPr>
        <w:spacing w:line="360" w:lineRule="auto" w:after="40"/>
      </w:pPr>
      <w:r>
        <w:t>6. 根据金融行动特别工作组(FATF)的规定，与环境犯罪所得洗钱相关的潜在风险指标包括：（选择两项。）</w:t>
      </w:r>
    </w:p>
    <w:p>
      <w:pPr>
        <w:spacing w:line="360" w:lineRule="auto" w:after="20"/>
      </w:pPr>
      <w:r>
        <w:t>A.在高风险司法管辖区注册的废物管理行业公司，其支付款项或贸易发票所涉及的废物类型与其获授权处理的废物类型一致</w:t>
      </w:r>
    </w:p>
    <w:p>
      <w:pPr>
        <w:spacing w:line="360" w:lineRule="auto" w:after="20"/>
      </w:pPr>
      <w:r>
        <w:t>B.伐木、木材加工或废料贸易行业的公司频繁向与合法业务活动或经营无关的个人或受益人支付款项</w:t>
      </w:r>
    </w:p>
    <w:p>
      <w:pPr>
        <w:spacing w:line="360" w:lineRule="auto" w:after="20"/>
      </w:pPr>
      <w:r>
        <w:t>C.无法解释的财富以及涉及高级官员或政治公众人物(或其家庭成员)的现金转移，且这些官员或公众人物的职责与自然资源的管理或保护相关</w:t>
      </w:r>
    </w:p>
    <w:p>
      <w:pPr>
        <w:spacing w:line="360" w:lineRule="auto" w:after="20"/>
      </w:pPr>
      <w:r>
        <w:t>D.从现金密集型企业向已知为金矿开采、非法采伐和非法土地开垦来源地区的受益人进行小额现金转移</w:t>
      </w:r>
    </w:p>
    <w:p>
      <w:pPr>
        <w:spacing w:line="360" w:lineRule="auto" w:after="40"/>
      </w:pPr>
      <w:r>
        <w:t>答案:B、C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识别与环境犯罪所得洗钱相关的 FATF 风险指标</w:t>
      </w:r>
    </w:p>
    <w:p>
      <w:pPr>
        <w:spacing w:line="360" w:lineRule="auto" w:after="40"/>
      </w:pPr>
      <w:r>
        <w:rPr>
          <w:b/>
          <w:shd w:fill="D6E4F0" w:val="clear"/>
        </w:rPr>
        <w:t>核心解析：</w:t>
      </w:r>
    </w:p>
    <w:p>
      <w:pPr>
        <w:spacing w:line="360" w:lineRule="auto" w:after="40"/>
      </w:pPr>
      <w:r>
        <w:t>FATF 关注的环境犯罪洗钱风险指标，通常指向利用</w:t>
      </w:r>
      <w:r>
        <w:rPr>
          <w:b/>
        </w:rPr>
        <w:t>自然资源行业的幌子公司进行异常资金转移</w:t>
      </w:r>
      <w:r>
        <w:t>，以及公职人员腐败。选项 B 描述伐木、木材加工或废料行业公司频繁向与合法经营无关的个人付款——这一模式与教材中“</w:t>
      </w:r>
      <w:r>
        <w:rPr>
          <w:b/>
        </w:rPr>
        <w:t>犯罪组织发起或勒索看似合法的渔业、伐木和采矿业务</w:t>
      </w:r>
      <w:r>
        <w:t>”并“</w:t>
      </w:r>
      <w:r>
        <w:rPr>
          <w:b/>
        </w:rPr>
        <w:t>虚增合同向共谋账户持有人付款以离析资金</w:t>
      </w:r>
      <w:r>
        <w:t>”的洗钱手法吻合</w:t>
      </w:r>
      <w:r>
        <w:rPr>
          <w:sz w:val="15"/>
          <w:vertAlign w:val="superscript"/>
        </w:rPr>
        <w:t>P33</w:t>
      </w:r>
      <w:r>
        <w:t>。选项 C 描述无法解释的财富和涉及自然资源管理官员（含家庭成员）的现金转移——这直接对应教材“环境犯罪常伴随对地方官员的贿赂和腐败”，以及腐败官员“收受贿赂阻碍调查”</w:t>
      </w:r>
      <w:r>
        <w:rPr>
          <w:sz w:val="15"/>
          <w:vertAlign w:val="superscript"/>
        </w:rPr>
        <w:t>P217</w:t>
      </w:r>
      <w:r>
        <w:t>。二者均属于环境犯罪所得洗钱的典型红旗信号。</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高风险管辖区注册的废物公司，其支付款项所涉废物类型与获授权处理的范围一致，这通常属于正常经营行为，与教材中利用废物管理幌子公司虚增合同、向无关方付款的洗钱风险指标相比，缺乏异常信号，因此匹配度不如 B 和 C。</w:t>
      </w:r>
    </w:p>
    <w:p>
      <w:pPr>
        <w:spacing w:line="360" w:lineRule="auto" w:after="40"/>
      </w:pPr>
      <w:r>
        <w:rPr>
          <w:b/>
          <w:shd w:fill="D6E4F0" w:val="clear"/>
        </w:rPr>
        <w:t>D项错误：</w:t>
      </w:r>
    </w:p>
    <w:p>
      <w:pPr>
        <w:spacing w:line="360" w:lineRule="auto" w:after="40"/>
      </w:pPr>
      <w:r>
        <w:t>从现金密集型企业向矿区受益人进行小额现金转移虽可构成一般性洗钱疑虑，例如漏斗账户和现金密集业务都可能被用于清洗收益，但题目要求的是FATF环境犯罪洗钱风险指标。选项B和C更直接对应环境犯罪特有手法（滥伐幌子公司、贿赂自然资源官员），而选项D缺乏像B和C那样与环境犯罪模式的直接关联，因而匹配度相对较弱。</w:t>
      </w:r>
    </w:p>
    <w:p>
      <w:pPr>
        <w:spacing w:line="360" w:lineRule="auto" w:after="40"/>
      </w:pPr>
      <w:r>
        <w:rPr>
          <w:b/>
          <w:shd w:fill="D6E4F0" w:val="clear"/>
        </w:rPr>
        <w:t>易错提醒：</w:t>
      </w:r>
    </w:p>
    <w:p>
      <w:pPr>
        <w:spacing w:line="360" w:lineRule="auto" w:after="40"/>
      </w:pPr>
      <w:r>
        <w:t>“高风险辖区”“矿区”“小额现金转移”等一般风险要素，单独出现时不足以确定与环境犯罪有关。环境犯罪洗钱指标还需结合伐木、废料、采矿等行业关联，以及自然资源管理领域的公职人员腐败等特征</w:t>
      </w:r>
      <w:r>
        <w:rPr>
          <w:sz w:val="15"/>
          <w:vertAlign w:val="superscript"/>
        </w:rPr>
        <w:t>P33、P217</w:t>
      </w:r>
      <w:r>
        <w:t>。</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