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CH10</w:t>
      </w:r>
    </w:p>
    <w:p>
      <w:pPr>
        <w:spacing w:line="360" w:lineRule="auto" w:after="160"/>
      </w:pPr>
      <w:r>
        <w:t>一、单项选择题</w:t>
      </w:r>
    </w:p>
    <w:p>
      <w:pPr>
        <w:spacing w:line="360" w:lineRule="auto" w:after="40"/>
      </w:pPr>
      <w:r>
        <w:t>1. 一家银行的客户尽职调查团队经理发现,上个季度有一名高风险客户的活动未按银行内部规定的时间表进行审查.KYC团队经理应该做什么？</w:t>
      </w:r>
    </w:p>
    <w:p>
      <w:pPr>
        <w:spacing w:line="360" w:lineRule="auto" w:after="20"/>
      </w:pPr>
      <w:r>
        <w:t>A.提交转介，建议报送可疑活动报告(SAR)</w:t>
      </w:r>
    </w:p>
    <w:p>
      <w:pPr>
        <w:spacing w:line="360" w:lineRule="auto" w:after="20"/>
      </w:pPr>
      <w:r>
        <w:t>B.评估客户身份识别(KYC)审查流程以了解为何审查未按要求进行,并在必要时采取纠正措施</w:t>
      </w:r>
    </w:p>
    <w:p>
      <w:pPr>
        <w:spacing w:line="360" w:lineRule="auto" w:after="20"/>
      </w:pPr>
      <w:r>
        <w:t>C.联系客户的客户经理,在完成定期的“了解您的客户”审查之前暂停账户访问权限</w:t>
      </w:r>
    </w:p>
    <w:p>
      <w:pPr>
        <w:spacing w:line="360" w:lineRule="auto" w:after="20"/>
      </w:pPr>
      <w:r>
        <w:t>D.将客户从银行的高风险名单中移除</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KYC质量控制流程与纠错机制</w:t>
      </w:r>
    </w:p>
    <w:p>
      <w:pPr>
        <w:spacing w:line="360" w:lineRule="auto" w:after="40"/>
      </w:pPr>
      <w:r>
        <w:rPr>
          <w:b/>
          <w:shd w:fill="D6E4F0" w:val="clear"/>
        </w:rPr>
        <w:t>核心解析：</w:t>
      </w:r>
    </w:p>
    <w:p>
      <w:pPr>
        <w:spacing w:line="360" w:lineRule="auto" w:after="40"/>
      </w:pPr>
      <w:r>
        <w:t>质量控制(QC)的核心目标是确保输出符合标准，包括“通过识别不完整、不正确或过时的KYC记录来检测和纠正错误”</w:t>
      </w:r>
      <w:r>
        <w:rPr>
          <w:sz w:val="15"/>
          <w:vertAlign w:val="superscript"/>
        </w:rPr>
        <w:t>P313</w:t>
      </w:r>
      <w:r>
        <w:t>。定期KYC审查要求“通过系统审计客户档案和风险评估”来进行</w:t>
      </w:r>
      <w:r>
        <w:rPr>
          <w:sz w:val="15"/>
          <w:vertAlign w:val="superscript"/>
        </w:rPr>
        <w:t>P314</w:t>
      </w:r>
      <w:r>
        <w:t>。题干中，团队经理发现的是内部流程执行出了问题——</w:t>
      </w:r>
      <w:r>
        <w:rPr>
          <w:b/>
        </w:rPr>
        <w:t>高风险客户的审查未按既定时间表完成</w:t>
      </w:r>
      <w:r>
        <w:t>。这一情形直接对应质量控制职能中的</w:t>
      </w:r>
      <w:r>
        <w:rPr>
          <w:b/>
        </w:rPr>
        <w:t>“错误检测与纠正”</w:t>
      </w:r>
      <w:r>
        <w:t>，而非直接触发可疑活动报告或客户风险等级变更。经理首先应评估审查流程、找出漏审原因并采取纠正措施，属于</w:t>
      </w:r>
      <w:r>
        <w:rPr>
          <w:b/>
        </w:rPr>
        <w:t>QC/QA职能的标准动作</w:t>
      </w:r>
      <w:r>
        <w:t>。</w:t>
      </w:r>
    </w:p>
    <w:p>
      <w:pPr>
        <w:spacing w:line="360" w:lineRule="auto" w:after="40"/>
      </w:pPr>
      <w:r>
        <w:rPr>
          <w:b/>
          <w:shd w:fill="D6E4F0" w:val="clear"/>
        </w:rPr>
        <w:t>教材原句：</w:t>
      </w:r>
    </w:p>
    <w:p>
      <w:pPr>
        <w:spacing w:line="360" w:lineRule="auto" w:after="40"/>
      </w:pPr>
      <w:r>
        <w:t>"Error detection and correction by identifying incomplete, incorrect, or outdated KYC records."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提交SAR的前提是“怀疑或知悉某人从事洗钱等犯罪活动”</w:t>
      </w:r>
      <w:r>
        <w:rPr>
          <w:sz w:val="15"/>
          <w:vertAlign w:val="superscript"/>
        </w:rPr>
        <w:t>P352</w:t>
      </w:r>
      <w:r>
        <w:t>，而题干只描述了审查延迟这一流程问题，未出现任何可支撑犯罪嫌疑的交易行为或风险信号，因此匹配度不如B项直接。</w:t>
      </w:r>
    </w:p>
    <w:p>
      <w:pPr>
        <w:spacing w:line="360" w:lineRule="auto" w:after="40"/>
      </w:pPr>
      <w:r>
        <w:rPr>
          <w:b/>
          <w:shd w:fill="D6E4F0" w:val="clear"/>
        </w:rPr>
        <w:t>C项错误：</w:t>
      </w:r>
    </w:p>
    <w:p>
      <w:pPr>
        <w:spacing w:line="360" w:lineRule="auto" w:after="40"/>
      </w:pPr>
      <w:r>
        <w:t>教材提到“分析师常建议加强客户监控或限制账户作为预防措施”</w:t>
      </w:r>
      <w:r>
        <w:rPr>
          <w:sz w:val="15"/>
          <w:vertAlign w:val="superscript"/>
        </w:rPr>
        <w:t>P335</w:t>
      </w:r>
      <w:r>
        <w:t>，但这是基于交易监控中发现的异常活动。题干的问题是KYC审查流程执行遗漏，优先动作应是诊断流程而非直接对客户账户采取措施，B项更吻合教材对质量控制职能的定义。</w:t>
      </w:r>
    </w:p>
    <w:p>
      <w:pPr>
        <w:spacing w:line="360" w:lineRule="auto" w:after="40"/>
      </w:pPr>
      <w:r>
        <w:rPr>
          <w:b/>
          <w:shd w:fill="D6E4F0" w:val="clear"/>
        </w:rPr>
        <w:t>D项错误：</w:t>
      </w:r>
    </w:p>
    <w:p>
      <w:pPr>
        <w:spacing w:line="360" w:lineRule="auto" w:after="40"/>
      </w:pPr>
      <w:r>
        <w:t>客户风险评估基于KYC流程收集的信息判定</w:t>
      </w:r>
      <w:r>
        <w:rPr>
          <w:sz w:val="15"/>
          <w:vertAlign w:val="superscript"/>
        </w:rPr>
        <w:t>P285</w:t>
      </w:r>
      <w:r>
        <w:t>。审查因内部流程问题被跳过，不等于客户风险已下降，直接移除高风险状态缺乏支撑。</w:t>
      </w:r>
    </w:p>
    <w:p>
      <w:pPr>
        <w:spacing w:line="360" w:lineRule="auto" w:after="40"/>
      </w:pPr>
      <w:r>
        <w:rPr>
          <w:b/>
          <w:shd w:fill="D6E4F0" w:val="clear"/>
        </w:rPr>
        <w:t>易错提醒：</w:t>
      </w:r>
    </w:p>
    <w:p>
      <w:pPr>
        <w:spacing w:line="360" w:lineRule="auto" w:after="40"/>
      </w:pPr>
      <w:r>
        <w:t>“KYC审查延迟”与“发现可疑活动”是两类不同场景。前者触发质量控制流程——追查流程漏洞并纠正；后者才有义务考虑提交SAR。不能因为没做审查就直接预设账户有犯罪嫌疑。</w:t>
      </w:r>
    </w:p>
    <w:p>
      <w:pPr>
        <w:spacing w:line="360" w:lineRule="auto" w:after="120"/>
      </w:pPr>
      <w:r/>
    </w:p>
    <w:p>
      <w:pPr>
        <w:spacing w:line="360" w:lineRule="auto" w:after="40"/>
      </w:pPr>
      <w:r>
        <w:t>2. 金融机构(FI)的政策是对每一位新客户都实施强化尽职调查(EDD),以确保该计划的有效性.顾问应如何向该金融机构的管理团队提供建议？</w:t>
      </w:r>
    </w:p>
    <w:p>
      <w:pPr>
        <w:spacing w:line="360" w:lineRule="auto" w:after="20"/>
      </w:pPr>
      <w:r>
        <w:t>A.建议该金融机构需要对强化尽职调查采取基于风险的方法.</w:t>
      </w:r>
    </w:p>
    <w:p>
      <w:pPr>
        <w:spacing w:line="360" w:lineRule="auto" w:after="20"/>
      </w:pPr>
      <w:r>
        <w:t>B.建议管理团队选定接受强化尽职调查的客户.</w:t>
      </w:r>
    </w:p>
    <w:p>
      <w:pPr>
        <w:spacing w:line="360" w:lineRule="auto" w:after="20"/>
      </w:pPr>
      <w:r>
        <w:t>C.建议管理团队就加强尽职调查措施向监管机构寻求建议.</w:t>
      </w:r>
    </w:p>
    <w:p>
      <w:pPr>
        <w:spacing w:line="360" w:lineRule="auto" w:after="20"/>
      </w:pPr>
      <w:r>
        <w:t>D.建议50%的客户采用EDD是恰当的.</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“一刀切”的EDD与基于风险为本的EDD的优劣判断</w:t>
      </w:r>
    </w:p>
    <w:p>
      <w:pPr>
        <w:spacing w:line="360" w:lineRule="auto" w:after="40"/>
      </w:pPr>
      <w:r>
        <w:rPr>
          <w:b/>
          <w:shd w:fill="D6E4F0" w:val="clear"/>
        </w:rPr>
        <w:t>核心解析：</w:t>
      </w:r>
    </w:p>
    <w:p>
      <w:pPr>
        <w:spacing w:line="360" w:lineRule="auto" w:after="40"/>
      </w:pPr>
      <w:r>
        <w:t>基于风险的方法（Risk-Based Approach）要求金融机构根据客户风险采取</w:t>
      </w:r>
      <w:r>
        <w:rPr>
          <w:b/>
        </w:rPr>
        <w:t>相称的尽职调查措施</w:t>
      </w:r>
      <w:r>
        <w:rPr>
          <w:sz w:val="15"/>
          <w:vertAlign w:val="superscript"/>
        </w:rPr>
        <w:t>P304</w:t>
      </w:r>
      <w:r>
        <w:t>。客户风险评估（CRA）用于确定尽职调查强度：高风险客户适用强化尽职调查，低风险客户可适用简化尽职调查</w:t>
      </w:r>
      <w:r>
        <w:rPr>
          <w:sz w:val="15"/>
          <w:vertAlign w:val="superscript"/>
        </w:rPr>
        <w:t>P285</w:t>
      </w:r>
      <w:r>
        <w:t>。题干中对每一位新客户一律实施EDD，没有根据风险等级区分措施强度，也会分散原本应集中用于高风险客户的合规资源。因此，顾问应建议机构对EDD实施</w:t>
      </w:r>
      <w:r>
        <w:rPr>
          <w:b/>
        </w:rPr>
        <w:t>基于风险的管理</w:t>
      </w:r>
      <w:r>
        <w:t>，对应选项A。</w:t>
      </w:r>
    </w:p>
    <w:p>
      <w:pPr>
        <w:spacing w:line="360" w:lineRule="auto" w:after="40"/>
      </w:pPr>
      <w:r>
        <w:rPr>
          <w:b/>
          <w:shd w:fill="D6E4F0" w:val="clear"/>
        </w:rPr>
        <w:t>教材原句：</w:t>
      </w:r>
    </w:p>
    <w:p>
      <w:pPr>
        <w:spacing w:line="360" w:lineRule="auto" w:after="40"/>
      </w:pPr>
      <w:r>
        <w:t>"financial institutions must implement risk-based due diligence to prevent financial crime."</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选定具体客户来做EDD的前提是先有风险评估，不能脱离风险评级去盲选。教材指出是通过客户风险评估（CRA）来决定适用何种级别的CDD，而非由管理层人为“选定”，这不符合基于风险的自动分配逻辑。</w:t>
      </w:r>
    </w:p>
    <w:p>
      <w:pPr>
        <w:spacing w:line="360" w:lineRule="auto" w:after="40"/>
      </w:pPr>
      <w:r>
        <w:rPr>
          <w:b/>
          <w:shd w:fill="D6E4F0" w:val="clear"/>
        </w:rPr>
        <w:t>C项错误：</w:t>
      </w:r>
    </w:p>
    <w:p>
      <w:pPr>
        <w:spacing w:line="360" w:lineRule="auto" w:after="40"/>
      </w:pPr>
      <w:r>
        <w:t>咨询监管机构的建议虽是良好实践</w:t>
      </w:r>
      <w:r>
        <w:rPr>
          <w:sz w:val="15"/>
          <w:vertAlign w:val="superscript"/>
        </w:rPr>
        <w:t>P388</w:t>
      </w:r>
      <w:r>
        <w:t>，但题干询问的是如何优化这个明显有缺陷的“一刀切EDD计划”。相比之下，采用基于风险的方法（选项A）是反洗钱合规最基础、最直接的内部原则，比寻求外部监管意见更优先，也更匹配教材对EDD分配的核心主张。</w:t>
      </w:r>
    </w:p>
    <w:p>
      <w:pPr>
        <w:spacing w:line="360" w:lineRule="auto" w:after="40"/>
      </w:pPr>
      <w:r>
        <w:rPr>
          <w:b/>
          <w:shd w:fill="D6E4F0" w:val="clear"/>
        </w:rPr>
        <w:t>D项错误：</w:t>
      </w:r>
    </w:p>
    <w:p>
      <w:pPr>
        <w:spacing w:line="360" w:lineRule="auto" w:after="40"/>
      </w:pPr>
      <w:r>
        <w:t>指定一个固定的百分比（例如50%）依然是“一刀切”的思维，缺乏对单个客户具体风险特征的评估。这与教材强调的“高风险才需EDD、低风险可适用SDD”的按风险分配原则完全相悖。</w:t>
      </w:r>
    </w:p>
    <w:p>
      <w:pPr>
        <w:spacing w:line="360" w:lineRule="auto" w:after="40"/>
      </w:pPr>
      <w:r>
        <w:rPr>
          <w:b/>
          <w:shd w:fill="D6E4F0" w:val="clear"/>
        </w:rPr>
        <w:t>易错提醒：</w:t>
      </w:r>
    </w:p>
    <w:p>
      <w:pPr>
        <w:spacing w:line="360" w:lineRule="auto" w:after="40"/>
      </w:pPr>
      <w:r>
        <w:t>学生容易认为对“所有人做EDD”是最保险的做法。但反洗钱领域的“有效性”核心在于资源的精准配置。把EDD资源均分给低风险客户，会稀释对真正高风险客户（如PEPs）的监控深度，这反而是一种不符合监管精神的“无效”合规。</w:t>
      </w:r>
    </w:p>
    <w:p>
      <w:pPr>
        <w:spacing w:line="360" w:lineRule="auto" w:after="120"/>
      </w:pPr>
      <w:r/>
    </w:p>
    <w:p>
      <w:pPr>
        <w:spacing w:line="360" w:lineRule="auto" w:after="40"/>
      </w:pPr>
      <w:r>
        <w:t>3. 在以下哪种情形中,应认定客户拥有过于复杂的股权结构？</w:t>
      </w:r>
    </w:p>
    <w:p>
      <w:pPr>
        <w:spacing w:line="360" w:lineRule="auto" w:after="20"/>
      </w:pPr>
      <w:r>
        <w:t>A.一家由两个个人持有的私人公司,其权益由一系列信托和基金会持有</w:t>
      </w:r>
    </w:p>
    <w:p>
      <w:pPr>
        <w:spacing w:line="360" w:lineRule="auto" w:after="20"/>
      </w:pPr>
      <w:r>
        <w:t>B.由两名受托人共同设立的信托,其中一名受托人为委托人,另一名为公司服务提供商</w:t>
      </w:r>
    </w:p>
    <w:p>
      <w:pPr>
        <w:spacing w:line="360" w:lineRule="auto" w:after="20"/>
      </w:pPr>
      <w:r>
        <w:t>C.一个由两个家族共同拥有的客户,涉及家族内部十几位所有者</w:t>
      </w:r>
    </w:p>
    <w:p>
      <w:pPr>
        <w:spacing w:line="360" w:lineRule="auto" w:after="20"/>
      </w:pPr>
      <w:r>
        <w:t>D.一家跨国代理银行,其与一家上市银行控股公司之间存在三层所有权关系</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识别复杂所有权结构的判别标准</w:t>
      </w:r>
    </w:p>
    <w:p>
      <w:pPr>
        <w:spacing w:line="360" w:lineRule="auto" w:after="40"/>
      </w:pPr>
      <w:r>
        <w:rPr>
          <w:b/>
          <w:shd w:fill="D6E4F0" w:val="clear"/>
        </w:rPr>
        <w:t>核心解析：</w:t>
      </w:r>
    </w:p>
    <w:p>
      <w:pPr>
        <w:spacing w:line="360" w:lineRule="auto" w:after="40"/>
      </w:pPr>
      <w:r>
        <w:t>离岸持股、名义董事或最终受益所有人（UBO）不明确，是复杂所有权结构的典型特征</w:t>
      </w:r>
      <w:r>
        <w:rPr>
          <w:sz w:val="15"/>
          <w:vertAlign w:val="superscript"/>
        </w:rPr>
        <w:t>P312</w:t>
      </w:r>
      <w:r>
        <w:t>；多层所有者或离岸持股也属于复杂公司结构分析的重点</w:t>
      </w:r>
      <w:r>
        <w:rPr>
          <w:sz w:val="15"/>
          <w:vertAlign w:val="superscript"/>
        </w:rPr>
        <w:t>P311</w:t>
      </w:r>
      <w:r>
        <w:t>。多层所有权可能</w:t>
      </w:r>
      <w:r>
        <w:rPr>
          <w:b/>
        </w:rPr>
        <w:t>掩盖受益所有人和控制人</w:t>
      </w:r>
      <w:r>
        <w:rPr>
          <w:sz w:val="15"/>
          <w:vertAlign w:val="superscript"/>
        </w:rPr>
        <w:t>P73</w:t>
      </w:r>
      <w:r>
        <w:t>，信托中法定所有权与受益所有权的分离也可能被用于掩盖关联</w:t>
      </w:r>
      <w:r>
        <w:rPr>
          <w:sz w:val="15"/>
          <w:vertAlign w:val="superscript"/>
        </w:rPr>
        <w:t>P74</w:t>
      </w:r>
      <w:r>
        <w:t>。A中的个人权益并非直接持有，而是经过一系列信托和基金会，其穿透识别难度高于仅说明三层且给出所有权链终点的D，因此在四个选项中最符合“过于复杂”的判断。判断重点是结构能否解释以及UBO能否查明，不能仅以所有权层数自动认定。</w:t>
      </w:r>
    </w:p>
    <w:p>
      <w:pPr>
        <w:spacing w:line="360" w:lineRule="auto" w:after="40"/>
      </w:pPr>
      <w:r>
        <w:rPr>
          <w:b/>
          <w:shd w:fill="D6E4F0" w:val="clear"/>
        </w:rPr>
        <w:t>教材原句：</w:t>
      </w:r>
    </w:p>
    <w:p>
      <w:pPr>
        <w:spacing w:line="360" w:lineRule="auto" w:after="40"/>
      </w:pPr>
      <w:r>
        <w:t>"Complex ownership structures: Entities with offshore holdings, nominee directors, or unclear UBO"</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教材说明，在某些信托中委托人可以同时担任受托人，信托也常在公司服务提供商的指导下设立</w:t>
      </w:r>
      <w:r>
        <w:rPr>
          <w:sz w:val="15"/>
          <w:vertAlign w:val="superscript"/>
        </w:rPr>
        <w:t>P73</w:t>
      </w:r>
      <w:r>
        <w:t>。这些角色组合需要核实和评估，但B已明确列出委托人和两名受托人，没有呈现A那种一系列信托、基金会造成的多层持有，也没有直接表明UBO不明确，因此不如A符合“过于复杂”。</w:t>
      </w:r>
    </w:p>
    <w:p>
      <w:pPr>
        <w:spacing w:line="360" w:lineRule="auto" w:after="40"/>
      </w:pPr>
      <w:r>
        <w:rPr>
          <w:b/>
          <w:shd w:fill="D6E4F0" w:val="clear"/>
        </w:rPr>
        <w:t>C项错误：</w:t>
      </w:r>
    </w:p>
    <w:p>
      <w:pPr>
        <w:spacing w:line="360" w:lineRule="auto" w:after="40"/>
      </w:pPr>
      <w:r>
        <w:t>选项C涉及两个家族十几位所有者，股东人数较多可能增加透明度识别难度，但多股东本身不等同于所有权结构过于复杂。判断重点在于是否存在离岸持股、名义董事或UBO不明确等情况</w:t>
      </w:r>
      <w:r>
        <w:rPr>
          <w:sz w:val="15"/>
          <w:vertAlign w:val="superscript"/>
        </w:rPr>
        <w:t>P312</w:t>
      </w:r>
      <w:r>
        <w:t>；如果家族成员均为已知自然人，结构仍可能清晰，因此C不如A匹配。</w:t>
      </w:r>
    </w:p>
    <w:p>
      <w:pPr>
        <w:spacing w:line="360" w:lineRule="auto" w:after="40"/>
      </w:pPr>
      <w:r>
        <w:rPr>
          <w:b/>
          <w:shd w:fill="D6E4F0" w:val="clear"/>
        </w:rPr>
        <w:t>D项错误：</w:t>
      </w:r>
    </w:p>
    <w:p>
      <w:pPr>
        <w:spacing w:line="360" w:lineRule="auto" w:after="40"/>
      </w:pPr>
      <w:r>
        <w:t>三层所有权确实属于需要分析的多层结构信号</w:t>
      </w:r>
      <w:r>
        <w:rPr>
          <w:sz w:val="15"/>
          <w:vertAlign w:val="superscript"/>
        </w:rPr>
        <w:t>P311</w:t>
      </w:r>
      <w:r>
        <w:t>，不能仅因层级固定就认定没有风险。但D已经给出所有权链的层数和终点，题干没有进一步显示UBO或控制人不明确；相比之下，A通过一系列信托和基金会间接持有权益，更直接叠加多层所有权及法定所有权与受益所有权分离的识别难度</w:t>
      </w:r>
      <w:r>
        <w:rPr>
          <w:sz w:val="15"/>
          <w:vertAlign w:val="superscript"/>
        </w:rPr>
        <w:t>P73、P74</w:t>
      </w:r>
      <w:r>
        <w:t>，因此更符合“过于复杂”。</w:t>
      </w:r>
    </w:p>
    <w:p>
      <w:pPr>
        <w:spacing w:line="360" w:lineRule="auto" w:after="40"/>
      </w:pPr>
      <w:r>
        <w:rPr>
          <w:b/>
          <w:shd w:fill="D6E4F0" w:val="clear"/>
        </w:rPr>
        <w:t>易错提醒：</w:t>
      </w:r>
    </w:p>
    <w:p>
      <w:pPr>
        <w:spacing w:line="360" w:lineRule="auto" w:after="40"/>
      </w:pPr>
      <w:r>
        <w:t>层级或参与人数是风险信号，但不能单独决定结构是否“过于复杂”。还要判断所有权链能否解释、相关自然人和控制人能否查实，以及法定所有权与受益所有权分离是否增加穿透识别难度</w:t>
      </w:r>
      <w:r>
        <w:rPr>
          <w:sz w:val="15"/>
          <w:vertAlign w:val="superscript"/>
        </w:rPr>
        <w:t>P74、P311-P312</w:t>
      </w:r>
      <w:r>
        <w:t>。</w:t>
      </w:r>
    </w:p>
    <w:p>
      <w:pPr>
        <w:spacing w:line="360" w:lineRule="auto" w:after="120"/>
      </w:pPr>
      <w:r/>
    </w:p>
    <w:p>
      <w:pPr>
        <w:spacing w:line="360" w:lineRule="auto" w:after="40"/>
      </w:pPr>
      <w:r>
        <w:t>4. 以下哪项最能全面增强反洗钱计划的有效性？</w:t>
      </w:r>
    </w:p>
    <w:p>
      <w:pPr>
        <w:spacing w:line="360" w:lineRule="auto" w:after="20"/>
      </w:pPr>
      <w:r>
        <w:t>A.对所有员工进行基本的反洗钱培训</w:t>
      </w:r>
    </w:p>
    <w:p>
      <w:pPr>
        <w:spacing w:line="360" w:lineRule="auto" w:after="20"/>
      </w:pPr>
      <w:r>
        <w:t>B.任命一名反洗钱专员作为董事会成员,使其成为管理层的正式成员,并赋予其更大的权力</w:t>
      </w:r>
    </w:p>
    <w:p>
      <w:pPr>
        <w:spacing w:line="360" w:lineRule="auto" w:after="20"/>
      </w:pPr>
      <w:r>
        <w:t>C.审计人员在审计结果不尽如人意的情况下,为项目提供具体的指导和支持</w:t>
      </w:r>
    </w:p>
    <w:p>
      <w:pPr>
        <w:spacing w:line="360" w:lineRule="auto" w:after="20"/>
      </w:pPr>
      <w:r>
        <w:t>D.通过反洗钱工作人员提供有效的挑战以及持续的交叉培训</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区分防线职能与培训类型（基本与持续/交叉）</w:t>
      </w:r>
    </w:p>
    <w:p>
      <w:pPr>
        <w:spacing w:line="360" w:lineRule="auto" w:after="40"/>
      </w:pPr>
      <w:r>
        <w:rPr>
          <w:b/>
          <w:shd w:fill="D6E4F0" w:val="clear"/>
        </w:rPr>
        <w:t>核心解析：</w:t>
      </w:r>
    </w:p>
    <w:p>
      <w:pPr>
        <w:spacing w:line="360" w:lineRule="auto" w:after="40"/>
      </w:pPr>
      <w:r>
        <w:t>教材支持两类有利于提高反洗钱计划质量的做法：第一，</w:t>
      </w:r>
      <w:r>
        <w:rPr>
          <w:b/>
        </w:rPr>
        <w:t>独立审计对第一、二道防线进行交叉检查</w:t>
      </w:r>
      <w:r>
        <w:rPr>
          <w:sz w:val="15"/>
          <w:vertAlign w:val="superscript"/>
        </w:rPr>
        <w:t>P256</w:t>
      </w:r>
      <w:r>
        <w:t>；第二，通过提升员工能力、突出薄弱环节开展</w:t>
      </w:r>
      <w:r>
        <w:rPr>
          <w:b/>
        </w:rPr>
        <w:t>培训与持续改进</w:t>
      </w:r>
      <w:r>
        <w:rPr>
          <w:sz w:val="15"/>
          <w:vertAlign w:val="superscript"/>
        </w:rPr>
        <w:t>P314</w:t>
      </w:r>
      <w:r>
        <w:t>。独立检查可以发现控制缺陷，持续培训和改进则帮助组织补足能力缺口，因此D在四个选项中最完整地覆盖了“有效挑战”和“持续能力建设”。相比之下，A只说基本培训，B可能削弱合规职能的独立挑战，C让审计人员直接提供处方式指导，均不如D匹配。</w:t>
      </w:r>
    </w:p>
    <w:p>
      <w:pPr>
        <w:spacing w:line="360" w:lineRule="auto" w:after="40"/>
      </w:pPr>
      <w:r>
        <w:rPr>
          <w:b/>
          <w:shd w:fill="D6E4F0" w:val="clear"/>
        </w:rPr>
        <w:t>教材原句：</w:t>
      </w:r>
    </w:p>
    <w:p>
      <w:pPr>
        <w:spacing w:line="360" w:lineRule="auto" w:after="40"/>
      </w:pPr>
      <w:r>
        <w:t>"Training and continuous improvement by enhancing staff competency and highlighting any weaknesses."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教材要求的是“定期、持续的反洗钱培训”</w:t>
      </w:r>
      <w:r>
        <w:rPr>
          <w:sz w:val="15"/>
          <w:vertAlign w:val="superscript"/>
        </w:rPr>
        <w:t>P245</w:t>
      </w:r>
      <w:r>
        <w:t>，而非仅“基本”培训。A并非没有价值，而是覆盖程度低于D所代表的持续能力建设。</w:t>
      </w:r>
    </w:p>
    <w:p>
      <w:pPr>
        <w:spacing w:line="360" w:lineRule="auto" w:after="40"/>
      </w:pPr>
      <w:r>
        <w:rPr>
          <w:b/>
          <w:shd w:fill="D6E4F0" w:val="clear"/>
        </w:rPr>
        <w:t>B项错误：</w:t>
      </w:r>
    </w:p>
    <w:p>
      <w:pPr>
        <w:spacing w:line="360" w:lineRule="auto" w:after="40"/>
      </w:pPr>
      <w:r>
        <w:t>教材将独立审计职能定位为直接向审计委员会或董事会报告以确保客观性</w:t>
      </w:r>
      <w:r>
        <w:rPr>
          <w:sz w:val="15"/>
          <w:vertAlign w:val="superscript"/>
        </w:rPr>
        <w:t>P256</w:t>
      </w:r>
      <w:r>
        <w:t>，这强调的是报告路径独立，而非让反洗钱专员“成为管理层的正式成员”。管理层身份可能削弱其独立挑战的能力，与题干要求的“增强有效性”在机制设计上不如选项D的交叉检查逻辑直接。</w:t>
      </w:r>
    </w:p>
    <w:p>
      <w:pPr>
        <w:spacing w:line="360" w:lineRule="auto" w:after="40"/>
      </w:pPr>
      <w:r>
        <w:rPr>
          <w:b/>
          <w:shd w:fill="D6E4F0" w:val="clear"/>
        </w:rPr>
        <w:t>C项错误：</w:t>
      </w:r>
    </w:p>
    <w:p>
      <w:pPr>
        <w:spacing w:line="360" w:lineRule="auto" w:after="40"/>
      </w:pPr>
      <w:r>
        <w:t>审计人员的核心职责是独立评估控制有效性、识别并沟通缺陷，提供客观意见</w:t>
      </w:r>
      <w:r>
        <w:rPr>
          <w:sz w:val="15"/>
          <w:vertAlign w:val="superscript"/>
        </w:rPr>
        <w:t>P257</w:t>
      </w:r>
      <w:r>
        <w:t>而非“具体的指导和支持”。若审计人员直接替项目设计方案，可能削弱第三道防线的独立性；因此C不如D所代表的“独立检查后由组织持续改进”这一组合稳妥。</w:t>
      </w:r>
    </w:p>
    <w:p>
      <w:pPr>
        <w:spacing w:line="360" w:lineRule="auto" w:after="40"/>
      </w:pPr>
      <w:r>
        <w:rPr>
          <w:b/>
          <w:shd w:fill="D6E4F0" w:val="clear"/>
        </w:rPr>
        <w:t>易错提醒：</w:t>
      </w:r>
    </w:p>
    <w:p>
      <w:pPr>
        <w:spacing w:line="360" w:lineRule="auto" w:after="40"/>
      </w:pPr>
      <w:r>
        <w:t>“有效挑战”不等于日常管理监督。前者来自独立审计职能的交叉检查，以客观性为前提</w:t>
      </w:r>
      <w:r>
        <w:rPr>
          <w:sz w:val="15"/>
          <w:vertAlign w:val="superscript"/>
        </w:rPr>
        <w:t>P256-P257</w:t>
      </w:r>
      <w:r>
        <w:t>；后者是第二道防线合规监控的日常职责。混淆两者容易把审计的“指导支持”误判为有效。</w:t>
      </w:r>
    </w:p>
    <w:p>
      <w:pPr>
        <w:spacing w:line="360" w:lineRule="auto" w:after="120"/>
      </w:pPr>
      <w:r/>
    </w:p>
    <w:p>
      <w:pPr>
        <w:spacing w:line="360" w:lineRule="auto" w:after="40"/>
      </w:pPr>
      <w:r>
        <w:t>5. 一家大型金融机构(FI)正在考虑将业务拓展至一个反洗钱法律薄弱的地区.基于风险的评估表明,该地区将使该金融机构的风险暴露超过其声明的风险偏好水平.下列哪种风险类型应作为该金融机构的主要关注优先级？</w:t>
      </w:r>
    </w:p>
    <w:p>
      <w:pPr>
        <w:spacing w:line="360" w:lineRule="auto" w:after="20"/>
      </w:pPr>
      <w:r>
        <w:t>A.现金密集型业务风险</w:t>
      </w:r>
    </w:p>
    <w:p>
      <w:pPr>
        <w:spacing w:line="360" w:lineRule="auto" w:after="20"/>
      </w:pPr>
      <w:r>
        <w:t>B.未知的第三方风险</w:t>
      </w:r>
    </w:p>
    <w:p>
      <w:pPr>
        <w:spacing w:line="360" w:lineRule="auto" w:after="20"/>
      </w:pPr>
      <w:r>
        <w:t>C.地理风险</w:t>
      </w:r>
    </w:p>
    <w:p>
      <w:pPr>
        <w:spacing w:line="360" w:lineRule="auto" w:after="20"/>
      </w:pPr>
      <w:r>
        <w:t>D.匿名交易风险</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将“反洗钱法律薄弱地区”识别为地理风险类型</w:t>
      </w:r>
    </w:p>
    <w:p>
      <w:pPr>
        <w:spacing w:line="360" w:lineRule="auto" w:after="40"/>
      </w:pPr>
      <w:r>
        <w:rPr>
          <w:b/>
          <w:shd w:fill="D6E4F0" w:val="clear"/>
        </w:rPr>
        <w:t>核心解析：</w:t>
      </w:r>
    </w:p>
    <w:p>
      <w:pPr>
        <w:spacing w:line="360" w:lineRule="auto" w:after="40"/>
      </w:pPr>
      <w:r>
        <w:t>教材将</w:t>
      </w:r>
      <w:r>
        <w:rPr>
          <w:b/>
        </w:rPr>
        <w:t>风险偏好</w:t>
      </w:r>
      <w:r>
        <w:t>定义为组织可接受的金融犯罪风险水平，并指出风险偏好会决定组织愿意在哪些司法管辖区运营</w:t>
      </w:r>
      <w:r>
        <w:rPr>
          <w:sz w:val="15"/>
          <w:vertAlign w:val="superscript"/>
        </w:rPr>
        <w:t>P270-P271</w:t>
      </w:r>
      <w:r>
        <w:t>。题干表明，新地区的反洗钱法律薄弱，导致机构的风险暴露超过其风险偏好。教材明确说明，来自反洗钱法规薄弱司法管辖区的客户风险更高</w:t>
      </w:r>
      <w:r>
        <w:rPr>
          <w:sz w:val="15"/>
          <w:vertAlign w:val="superscript"/>
        </w:rPr>
        <w:t>P73</w:t>
      </w:r>
      <w:r>
        <w:t>，并将“在受制裁司法管辖区或高风险国家运营或交易”归入</w:t>
      </w:r>
      <w:r>
        <w:rPr>
          <w:b/>
        </w:rPr>
        <w:t>地理风险</w:t>
      </w:r>
      <w:r>
        <w:rPr>
          <w:sz w:val="15"/>
          <w:vertAlign w:val="superscript"/>
        </w:rPr>
        <w:t>P312</w:t>
      </w:r>
      <w:r>
        <w:t>。因此，题干中的风险来源是地区及其法律环境，直接对应C“地理风险”。</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教材将从事现金密集型或高风险业务归入行业风险</w:t>
      </w:r>
      <w:r>
        <w:rPr>
          <w:sz w:val="15"/>
          <w:vertAlign w:val="superscript"/>
        </w:rPr>
        <w:t>P312</w:t>
      </w:r>
      <w:r>
        <w:t>。题干没有描述该机构将进入某类现金密集行业，而是强调新地区的反洗钱法律薄弱，因此风险维度是地理而非行业。</w:t>
      </w:r>
    </w:p>
    <w:p>
      <w:pPr>
        <w:spacing w:line="360" w:lineRule="auto" w:after="40"/>
      </w:pPr>
      <w:r>
        <w:rPr>
          <w:b/>
          <w:shd w:fill="D6E4F0" w:val="clear"/>
        </w:rPr>
        <w:t>B项错误：</w:t>
      </w:r>
    </w:p>
    <w:p>
      <w:pPr>
        <w:spacing w:line="360" w:lineRule="auto" w:after="40"/>
      </w:pPr>
      <w:r>
        <w:t>未知第三方风险与地理风险是不同的风险来源。题干没有出现中介、担保人、交易对手或其他无法核实的第三方，却明确指出风险来自反洗钱法律薄弱的地区，因此B不匹配。</w:t>
      </w:r>
    </w:p>
    <w:p>
      <w:pPr>
        <w:spacing w:line="360" w:lineRule="auto" w:after="40"/>
      </w:pPr>
      <w:r>
        <w:rPr>
          <w:b/>
          <w:shd w:fill="D6E4F0" w:val="clear"/>
        </w:rPr>
        <w:t>D项错误：</w:t>
      </w:r>
    </w:p>
    <w:p>
      <w:pPr>
        <w:spacing w:line="360" w:lineRule="auto" w:after="40"/>
      </w:pPr>
      <w:r>
        <w:t>匿名交易风险需要匿名账户、匿名支付工具或难以追踪的交易方式等题干事实。本题没有提供这类信息，风险来源是地区的法律和监管环境，因此D不匹配。</w:t>
      </w:r>
    </w:p>
    <w:p>
      <w:pPr>
        <w:spacing w:line="360" w:lineRule="auto" w:after="40"/>
      </w:pPr>
      <w:r>
        <w:rPr>
          <w:b/>
          <w:shd w:fill="D6E4F0" w:val="clear"/>
        </w:rPr>
        <w:t>易错提醒：</w:t>
      </w:r>
    </w:p>
    <w:p>
      <w:pPr>
        <w:spacing w:line="360" w:lineRule="auto" w:after="40"/>
      </w:pPr>
      <w:r>
        <w:t>先识别题干中的风险来源：地区或司法管辖区的法律环境对应地理风险</w:t>
      </w:r>
      <w:r>
        <w:rPr>
          <w:sz w:val="15"/>
          <w:vertAlign w:val="superscript"/>
        </w:rPr>
        <w:t>P312</w:t>
      </w:r>
      <w:r>
        <w:t>；现金密集型经营模式对应行业风险</w:t>
      </w:r>
      <w:r>
        <w:rPr>
          <w:sz w:val="15"/>
          <w:vertAlign w:val="superscript"/>
        </w:rPr>
        <w:t>P312</w:t>
      </w:r>
      <w:r>
        <w:t>；无法核实的中介或交易对手对应第三方风险；身份或资金路径难以追踪对应匿名交易风险。本题明确指向反洗钱法律薄弱的地区</w:t>
      </w:r>
      <w:r>
        <w:rPr>
          <w:sz w:val="15"/>
          <w:vertAlign w:val="superscript"/>
        </w:rPr>
        <w:t>P73</w:t>
      </w:r>
      <w:r>
        <w:t>，因此选择地理风险。</w:t>
      </w:r>
    </w:p>
    <w:p>
      <w:pPr>
        <w:spacing w:line="360" w:lineRule="auto" w:after="120"/>
      </w:pPr>
      <w:r/>
    </w:p>
    <w:p>
      <w:pPr>
        <w:spacing w:line="360" w:lineRule="auto" w:after="40"/>
      </w:pPr>
      <w:r>
        <w:t>6. 以下哪些情形需要加强尽职调查(EDD)？（选择三项。）</w:t>
      </w:r>
    </w:p>
    <w:p>
      <w:pPr>
        <w:spacing w:line="360" w:lineRule="auto" w:after="20"/>
      </w:pPr>
      <w:r>
        <w:t>A.一名当地联赛的现役足球运动员试图在当地司法管辖区的一家银行开设银行账户</w:t>
      </w:r>
    </w:p>
    <w:p>
      <w:pPr>
        <w:spacing w:line="360" w:lineRule="auto" w:after="20"/>
      </w:pPr>
      <w:r>
        <w:t>B.某国现任总理试图在另一国开设银行账户</w:t>
      </w:r>
    </w:p>
    <w:p>
      <w:pPr>
        <w:spacing w:line="360" w:lineRule="auto" w:after="20"/>
      </w:pPr>
      <w:r>
        <w:t>C.25年前在低风险国家交通部长手下担任过私人秘书的人在邻国的一家低风险国家银行开设银行账户</w:t>
      </w:r>
    </w:p>
    <w:p>
      <w:pPr>
        <w:spacing w:line="360" w:lineRule="auto" w:after="20"/>
      </w:pPr>
      <w:r>
        <w:t>D.一家位于高风险国家的银行试图与一家位于低风险国家的银行建立代理行/被代理行关系</w:t>
      </w:r>
    </w:p>
    <w:p>
      <w:pPr>
        <w:spacing w:line="360" w:lineRule="auto" w:after="20"/>
      </w:pPr>
      <w:r>
        <w:t>E.一位在本国拥有现有银行账户的个人成为另一个国家的大使</w:t>
      </w:r>
    </w:p>
    <w:p>
      <w:pPr>
        <w:spacing w:line="360" w:lineRule="auto" w:after="40"/>
      </w:pPr>
      <w:r>
        <w:t>答案:B、D、E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识别触发EDD的典型场景：PEP与高风险代理行关系</w:t>
      </w:r>
    </w:p>
    <w:p>
      <w:pPr>
        <w:spacing w:line="360" w:lineRule="auto" w:after="40"/>
      </w:pPr>
      <w:r>
        <w:rPr>
          <w:b/>
          <w:shd w:fill="D6E4F0" w:val="clear"/>
        </w:rPr>
        <w:t>核心解析：</w:t>
      </w:r>
    </w:p>
    <w:p>
      <w:pPr>
        <w:spacing w:line="360" w:lineRule="auto" w:after="40"/>
      </w:pPr>
      <w:r>
        <w:t>强化尽职调查（EDD）的核心原则是“基于风险”（risk-based），即对较高风险的客户或业务关系施加更严格的审查措施。教材将以下两类情形明确归入需要EDD的范畴：其一，</w:t>
      </w:r>
      <w:r>
        <w:rPr>
          <w:b/>
        </w:rPr>
        <w:t>高风险客户，尤其是政治敏感人物（PEP）</w:t>
      </w:r>
      <w:r>
        <w:t>，指担任显要公职的个人</w:t>
      </w:r>
      <w:r>
        <w:rPr>
          <w:sz w:val="15"/>
          <w:vertAlign w:val="superscript"/>
        </w:rPr>
        <w:t>P310、P137</w:t>
      </w:r>
      <w:r>
        <w:t>；其二，高风险业务关系，典型如《美国爱国者法案》第312条强制要求对外国金融机构代理账户执行EDD</w:t>
      </w:r>
      <w:r>
        <w:rPr>
          <w:sz w:val="15"/>
          <w:vertAlign w:val="superscript"/>
        </w:rPr>
        <w:t>P181</w:t>
      </w:r>
      <w:r>
        <w:t>。</w:t>
      </w:r>
    </w:p>
    <w:p>
      <w:pPr>
        <w:spacing w:line="360" w:lineRule="auto" w:after="40"/>
      </w:pPr>
      <w:r>
        <w:t>将此规则套入题干：选项B“现任总理在国外开户”直接命中PEP定义——总理属于“显要公职”的最高层级；选项E“个人成为另一个国家的大使”同样命中PEP，因为使馆相关政府关系会因涉及PEP而给银行带来不同程度的风险</w:t>
      </w:r>
      <w:r>
        <w:rPr>
          <w:sz w:val="15"/>
          <w:vertAlign w:val="superscript"/>
        </w:rPr>
        <w:t>P137</w:t>
      </w:r>
      <w:r>
        <w:t>；选项D“高风险国家银行寻求与低风险国家银行建立代理行关系”直接命中第312条对“外国金融机构代理账户”的EDD强制要求，且委托行位于高风险司法管辖区进一步强化了风险等级</w:t>
      </w:r>
      <w:r>
        <w:rPr>
          <w:sz w:val="15"/>
          <w:vertAlign w:val="superscript"/>
        </w:rPr>
        <w:t>P181</w:t>
      </w:r>
      <w:r>
        <w:t>。这三项都在教材明确划定的EDD触发范围内，无需推断。</w:t>
      </w:r>
    </w:p>
    <w:p>
      <w:pPr>
        <w:spacing w:line="360" w:lineRule="auto" w:after="40"/>
      </w:pPr>
      <w:r>
        <w:rPr>
          <w:b/>
          <w:shd w:fill="D6E4F0" w:val="clear"/>
        </w:rPr>
        <w:t>教材原句：</w:t>
      </w:r>
    </w:p>
    <w:p>
      <w:pPr>
        <w:spacing w:line="360" w:lineRule="auto" w:after="40"/>
      </w:pPr>
      <w:r>
        <w:t>"EDD is typically required for high-risk customers, such as PEPs or individuals operating in high-risk jurisdictions."</w:t>
      </w:r>
      <w:r>
        <w:rPr>
          <w:sz w:val="15"/>
          <w:vertAlign w:val="superscript"/>
        </w:rPr>
        <w:t>P310</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“当地联赛足球运动员”不属于教材列举的高风险客户类别，也无涉及高风险司法管辖区或特殊业务关系</w:t>
      </w:r>
      <w:r>
        <w:rPr>
          <w:sz w:val="15"/>
          <w:vertAlign w:val="superscript"/>
        </w:rPr>
        <w:t>P310</w:t>
      </w:r>
      <w:r>
        <w:t>。相比B/D/E直接命中PEP或高风险代理行等EDD触发条件，该选项缺乏任何需要升级审查的风险要素。</w:t>
      </w:r>
    </w:p>
    <w:p>
      <w:pPr>
        <w:spacing w:line="360" w:lineRule="auto" w:after="40"/>
      </w:pPr>
      <w:r>
        <w:rPr>
          <w:b/>
          <w:shd w:fill="D6E4F0" w:val="clear"/>
        </w:rPr>
        <w:t>C项错误：</w:t>
      </w:r>
    </w:p>
    <w:p>
      <w:pPr>
        <w:spacing w:line="360" w:lineRule="auto" w:after="40"/>
      </w:pPr>
      <w:r>
        <w:t>25年前的“交通部长私人秘书”在时间维度和职级维度上均与PEP定义的核心——“现任显要公职”存在显著距离。教材对PEP的高风险聚焦于担任显要公职的个人及其直系亲属或密切关联人</w:t>
      </w:r>
      <w:r>
        <w:rPr>
          <w:sz w:val="15"/>
          <w:vertAlign w:val="superscript"/>
        </w:rPr>
        <w:t>P137</w:t>
      </w:r>
      <w:r>
        <w:t>，且私人秘书本身不直接等同于PEP。在低风险国家开户进一步降低了风险等级，触发EDD的匹配度远弱于明确无误的现任总理（B）和现任大使（E）。</w:t>
      </w:r>
    </w:p>
    <w:p>
      <w:pPr>
        <w:spacing w:line="360" w:lineRule="auto" w:after="40"/>
      </w:pPr>
      <w:r>
        <w:rPr>
          <w:b/>
          <w:shd w:fill="D6E4F0" w:val="clear"/>
        </w:rPr>
        <w:t>易错提醒：</w:t>
      </w:r>
    </w:p>
    <w:p>
      <w:pPr>
        <w:spacing w:line="360" w:lineRule="auto" w:after="40"/>
      </w:pPr>
      <w:r>
        <w:t>学生易混淆“曾经担任过政府职务”与“现任PEP”之间的风险差异。PEP的EDD义务最严格地适用于现任（current）或在任期内的人员。离任时间越长、原职位越低、与核心政治权力的距离越远，其风险衰减越显著，未必触发EDD。教材对PEP的定义聚焦于“担任显要公职”（prominent political function）</w:t>
      </w:r>
      <w:r>
        <w:rPr>
          <w:sz w:val="15"/>
          <w:vertAlign w:val="superscript"/>
        </w:rPr>
        <w:t>P137</w:t>
      </w:r>
      <w:r>
        <w:t>，题干C的“25年前的部长私人秘书”在这两个维度上均已大幅偏离。</w:t>
      </w:r>
    </w:p>
    <w:p>
      <w:pPr>
        <w:spacing w:line="360" w:lineRule="auto" w:after="120"/>
      </w:pPr>
      <w:r/>
    </w:p>
    <w:p>
      <w:pPr>
        <w:spacing w:line="360" w:lineRule="auto" w:after="40"/>
      </w:pPr>
      <w:r>
        <w:t>7. 根据巴塞尔委员会的原则,以下哪两项行动会使银行的客户身份识别计划更加完善？（选择两项。）</w:t>
      </w:r>
    </w:p>
    <w:p>
      <w:pPr>
        <w:spacing w:line="360" w:lineRule="auto" w:after="20"/>
      </w:pPr>
      <w:r>
        <w:t>A.了解客户为何选择某家特定的金融机构办理银行业务</w:t>
      </w:r>
    </w:p>
    <w:p>
      <w:pPr>
        <w:spacing w:line="360" w:lineRule="auto" w:after="20"/>
      </w:pPr>
      <w:r>
        <w:t>B.通过可靠的在线来源资料核实客户身份</w:t>
      </w:r>
    </w:p>
    <w:p>
      <w:pPr>
        <w:spacing w:line="360" w:lineRule="auto" w:after="20"/>
      </w:pPr>
      <w:r>
        <w:t>C.在新客户注册后的头两个月限制其在线活动</w:t>
      </w:r>
    </w:p>
    <w:p>
      <w:pPr>
        <w:spacing w:line="360" w:lineRule="auto" w:after="20"/>
      </w:pPr>
      <w:r>
        <w:t>D.了解新企业在银行开户的性质和目的</w:t>
      </w:r>
    </w:p>
    <w:p>
      <w:pPr>
        <w:spacing w:line="360" w:lineRule="auto" w:after="40"/>
      </w:pPr>
      <w:r>
        <w:t>答案:A、D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以客户关系目的和性质完善客户身份识别</w:t>
      </w:r>
    </w:p>
    <w:p>
      <w:pPr>
        <w:spacing w:line="360" w:lineRule="auto" w:after="40"/>
      </w:pPr>
      <w:r>
        <w:rPr>
          <w:b/>
          <w:shd w:fill="D6E4F0" w:val="clear"/>
        </w:rPr>
        <w:t>核心解析：</w:t>
      </w:r>
    </w:p>
    <w:p>
      <w:pPr>
        <w:spacing w:line="360" w:lineRule="auto" w:after="40"/>
      </w:pPr>
      <w:r>
        <w:t>巴塞尔委员会的KYC原则把客户身份识别和客户接纳政策列为KYC计划的关键要素</w:t>
      </w:r>
      <w:r>
        <w:rPr>
          <w:sz w:val="15"/>
          <w:vertAlign w:val="superscript"/>
        </w:rPr>
        <w:t>P166</w:t>
      </w:r>
      <w:r>
        <w:t>。落实到开户环节，机构必须了解</w:t>
      </w:r>
      <w:r>
        <w:rPr>
          <w:b/>
        </w:rPr>
        <w:t>客户关系的目的和预期性质</w:t>
      </w:r>
      <w:r>
        <w:rPr>
          <w:sz w:val="15"/>
          <w:vertAlign w:val="superscript"/>
        </w:rPr>
        <w:t>P305</w:t>
      </w:r>
      <w:r>
        <w:t>。选项D直接询问新企业开户的性质和目的；选项A询问客户为何选择该金融机构，也有助于判断客户建立关系的目的及预期性质。A、D都能增加银行对客户关系背景的理解，使客户身份识别计划更稳健。</w:t>
      </w:r>
    </w:p>
    <w:p>
      <w:pPr>
        <w:spacing w:line="360" w:lineRule="auto" w:after="40"/>
      </w:pPr>
      <w:r>
        <w:rPr>
          <w:b/>
          <w:shd w:fill="D6E4F0" w:val="clear"/>
        </w:rPr>
        <w:t>教材原句：</w:t>
      </w:r>
    </w:p>
    <w:p>
      <w:pPr>
        <w:spacing w:line="360" w:lineRule="auto" w:after="40"/>
      </w:pPr>
      <w:r>
        <w:t>"Organizations must understand and obtain information, as appropriate, on the purpose and intended nature of the customer’s relationship with the organization."</w:t>
      </w:r>
      <w:r>
        <w:rPr>
          <w:sz w:val="15"/>
          <w:vertAlign w:val="superscript"/>
        </w:rPr>
        <w:t>P305</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教材所称验证，是用政府签发文件、生物识别、AI验证工具或证件取证分析来认证客户提供的信息</w:t>
      </w:r>
      <w:r>
        <w:rPr>
          <w:sz w:val="15"/>
          <w:vertAlign w:val="superscript"/>
        </w:rPr>
        <w:t>P305</w:t>
      </w:r>
      <w:r>
        <w:t>。“可靠的在线来源文件”可以作为补充信息，但选项没有说明其为政府签发文件或经过身份认证，不能仅凭“在线且可靠”替代身份验证。</w:t>
      </w:r>
    </w:p>
    <w:p>
      <w:pPr>
        <w:spacing w:line="360" w:lineRule="auto" w:after="40"/>
      </w:pPr>
      <w:r>
        <w:rPr>
          <w:b/>
          <w:shd w:fill="D6E4F0" w:val="clear"/>
        </w:rPr>
        <w:t>C项错误：</w:t>
      </w:r>
    </w:p>
    <w:p>
      <w:pPr>
        <w:spacing w:line="360" w:lineRule="auto" w:after="40"/>
      </w:pPr>
      <w:r>
        <w:t>在开户后固定两个月限制线上活动，既不是客户身份识别方法，也没有体现按客户风险决定控制强度；它不回答客户是谁或为何建立关系。</w:t>
      </w:r>
    </w:p>
    <w:p>
      <w:pPr>
        <w:spacing w:line="360" w:lineRule="auto" w:after="40"/>
      </w:pPr>
      <w:r>
        <w:rPr>
          <w:b/>
          <w:shd w:fill="D6E4F0" w:val="clear"/>
        </w:rPr>
        <w:t>易错提醒：</w:t>
      </w:r>
    </w:p>
    <w:p>
      <w:pPr>
        <w:spacing w:line="360" w:lineRule="auto" w:after="40"/>
      </w:pPr>
      <w:r>
        <w:t>客户身份识别计划不只收集姓名、证件等身份字段，还要理解建立客户关系的目的和预期性质</w:t>
      </w:r>
      <w:r>
        <w:rPr>
          <w:sz w:val="15"/>
          <w:vertAlign w:val="superscript"/>
        </w:rPr>
        <w:t>P305</w:t>
      </w:r>
      <w:r>
        <w:t>；但外部在线资料本身不等于完成身份认证。</w:t>
      </w:r>
    </w:p>
    <w:p>
      <w:pPr>
        <w:spacing w:line="360" w:lineRule="auto" w:after="120"/>
      </w:pPr>
      <w:r/>
    </w:p>
    <w:p>
      <w:pPr>
        <w:spacing w:line="360" w:lineRule="auto" w:after="40"/>
      </w:pPr>
      <w:r>
        <w:t>8. 巴塞尔银行监管委员会发布了关于"妥善管理与洗钱和恐怖主义融资相关风险"的指导方针.关于识别和接纳客户,它建议银行:（选择两项。）</w:t>
      </w:r>
    </w:p>
    <w:p>
      <w:pPr>
        <w:spacing w:line="360" w:lineRule="auto" w:after="20"/>
      </w:pPr>
      <w:r>
        <w:t>A.制定政策和程序,确保对所有客户开展的尽职调查活动完全一致.</w:t>
      </w:r>
    </w:p>
    <w:p>
      <w:pPr>
        <w:spacing w:line="360" w:lineRule="auto" w:after="20"/>
      </w:pPr>
      <w:r>
        <w:t>B.制定政策和程序,以识别和核实客户、受益所有人以及任何能够代表客户进行交易的个人.</w:t>
      </w:r>
    </w:p>
    <w:p>
      <w:pPr>
        <w:spacing w:line="360" w:lineRule="auto" w:after="20"/>
      </w:pPr>
      <w:r>
        <w:t>C.制定基于风险程度不同的客户尽职调查政策和程序.</w:t>
      </w:r>
    </w:p>
    <w:p>
      <w:pPr>
        <w:spacing w:line="360" w:lineRule="auto" w:after="20"/>
      </w:pPr>
      <w:r>
        <w:t>D.即使已建立程序来收集和保存尽职调查信息,也不得向客户提供编号账户.</w:t>
      </w:r>
    </w:p>
    <w:p>
      <w:pPr>
        <w:spacing w:line="360" w:lineRule="auto" w:after="20"/>
      </w:pPr>
      <w:r>
        <w:t>E.制定相关政策和程序,鼓励在尽职调查信息建立和核实期间处理交易</w:t>
      </w:r>
    </w:p>
    <w:p>
      <w:pPr>
        <w:spacing w:line="360" w:lineRule="auto" w:after="40"/>
      </w:pPr>
      <w:r>
        <w:t>答案:B、C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BCBS指南对客户接纳与识别的风险为本原则</w:t>
      </w:r>
    </w:p>
    <w:p>
      <w:pPr>
        <w:spacing w:line="360" w:lineRule="auto" w:after="40"/>
      </w:pPr>
      <w:r>
        <w:rPr>
          <w:b/>
          <w:shd w:fill="D6E4F0" w:val="clear"/>
        </w:rPr>
        <w:t>核心解析：</w:t>
      </w:r>
    </w:p>
    <w:p>
      <w:pPr>
        <w:spacing w:line="360" w:lineRule="auto" w:after="40"/>
      </w:pPr>
      <w:r>
        <w:t>BCBS指南支持银行和监管机构实施FATF的AML/CFT建议</w:t>
      </w:r>
      <w:r>
        <w:rPr>
          <w:sz w:val="15"/>
          <w:vertAlign w:val="superscript"/>
        </w:rPr>
        <w:t>P166</w:t>
      </w:r>
      <w:r>
        <w:t>。在客户识别和接纳的具体内容上，教材直接要求</w:t>
      </w:r>
      <w:r>
        <w:rPr>
          <w:b/>
        </w:rPr>
        <w:t>识别和核实受益所有人以及董事、高级管理层和授权签字人</w:t>
      </w:r>
      <w:r>
        <w:rPr>
          <w:sz w:val="15"/>
          <w:vertAlign w:val="superscript"/>
        </w:rPr>
        <w:t>P311</w:t>
      </w:r>
      <w:r>
        <w:t>，这与B逐项对应。教材还明确规定CDD是</w:t>
      </w:r>
      <w:r>
        <w:rPr>
          <w:b/>
        </w:rPr>
        <w:t>强制性的</w:t>
      </w:r>
      <w:r>
        <w:t>，并应根据</w:t>
      </w:r>
      <w:r>
        <w:rPr>
          <w:b/>
        </w:rPr>
        <w:t>实体风险、司法管辖区要求和监管期望变化</w:t>
      </w:r>
      <w:r>
        <w:rPr>
          <w:sz w:val="15"/>
          <w:vertAlign w:val="superscript"/>
        </w:rPr>
        <w:t>P304</w:t>
      </w:r>
      <w:r>
        <w:t>，因此C对应风险差异化的CDD。这里B、C不是仅凭“BCBS支持FATF”作泛化推断，而是由具体CDD单元直接支撑；BCBS背景单元负责说明适用对象，CDD单元负责说明选项内容。</w:t>
      </w:r>
    </w:p>
    <w:p>
      <w:pPr>
        <w:spacing w:line="360" w:lineRule="auto" w:after="40"/>
      </w:pPr>
      <w:r>
        <w:rPr>
          <w:b/>
          <w:shd w:fill="D6E4F0" w:val="clear"/>
        </w:rPr>
        <w:t>教材原句：</w:t>
      </w:r>
    </w:p>
    <w:p>
      <w:pPr>
        <w:spacing w:line="360" w:lineRule="auto" w:after="40"/>
      </w:pPr>
      <w:r>
        <w:t>"CDD is mandatory and varies based on entity risk, jurisdictional requirements, and regulatory expectations."</w:t>
      </w:r>
      <w:r>
        <w:rPr>
          <w:sz w:val="15"/>
          <w:vertAlign w:val="superscript"/>
        </w:rPr>
        <w:t>P304</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教材强调风险为本方法的核心在于“应对措施与识别出的风险成比例”</w:t>
      </w:r>
      <w:r>
        <w:rPr>
          <w:sz w:val="15"/>
          <w:vertAlign w:val="superscript"/>
        </w:rPr>
        <w:t>P147、P218</w:t>
      </w:r>
      <w:r>
        <w:t>。A项要求对所有客户尽职调查活动“完全一致”，正好违背了这一原则。相比之下，C项“基于风险程度不同而变化”更直接匹配BCBS指南倡导的方向。</w:t>
      </w:r>
    </w:p>
    <w:p>
      <w:pPr>
        <w:spacing w:line="360" w:lineRule="auto" w:after="40"/>
      </w:pPr>
      <w:r>
        <w:rPr>
          <w:b/>
          <w:shd w:fill="D6E4F0" w:val="clear"/>
        </w:rPr>
        <w:t>D项错误：</w:t>
      </w:r>
    </w:p>
    <w:p>
      <w:pPr>
        <w:spacing w:line="360" w:lineRule="auto" w:after="40"/>
      </w:pPr>
      <w:r>
        <w:t>D将编号账户表述为一律不得提供，但题干考查的是客户识别和接纳的核心原则。相比之下，B直接要求识别和核实客户、受益所有人及授权交易人员，C直接体现风险差异化的CDD，两项与题干所问的BCBS建议更匹配。</w:t>
      </w:r>
    </w:p>
    <w:p>
      <w:pPr>
        <w:spacing w:line="360" w:lineRule="auto" w:after="40"/>
      </w:pPr>
      <w:r>
        <w:rPr>
          <w:b/>
          <w:shd w:fill="D6E4F0" w:val="clear"/>
        </w:rPr>
        <w:t>E项错误：</w:t>
      </w:r>
    </w:p>
    <w:p>
      <w:pPr>
        <w:spacing w:line="360" w:lineRule="auto" w:after="40"/>
      </w:pPr>
      <w:r>
        <w:t>KYC流程要求在建立或维持关系前识别、核实并评估客户风险，而E鼓励在尽职调查信息尚未建立和核实期间处理交易，与题干所考查的审慎客户接纳流程不匹配。</w:t>
      </w:r>
    </w:p>
    <w:p>
      <w:pPr>
        <w:spacing w:line="360" w:lineRule="auto" w:after="120"/>
      </w:pPr>
      <w:r/>
    </w:p>
    <w:p>
      <w:pPr>
        <w:spacing w:line="360" w:lineRule="auto" w:after="40"/>
      </w:pPr>
      <w:r>
        <w:t>9. 一位潜在客户走进一家会计事务所，想要成立一家公司。会面结束后，会计感觉很不自在。会计人员的哪两项观察结果需要上报给合规官？（选择两项。）</w:t>
      </w:r>
    </w:p>
    <w:p>
      <w:pPr>
        <w:spacing w:line="360" w:lineRule="auto" w:after="20"/>
      </w:pPr>
      <w:r>
        <w:t>A.拟成立公司的主要业务为进口和出口新家具。</w:t>
      </w:r>
    </w:p>
    <w:p>
      <w:pPr>
        <w:spacing w:line="360" w:lineRule="auto" w:after="20"/>
      </w:pPr>
      <w:r>
        <w:t>B.潜在客户对拟议业务的细节描述含混不清，并且对拟议的业务活动知之甚少。</w:t>
      </w:r>
    </w:p>
    <w:p>
      <w:pPr>
        <w:spacing w:line="360" w:lineRule="auto" w:after="20"/>
      </w:pPr>
      <w:r>
        <w:t>C.潜在客户无法提供有关受益所有人的信息。</w:t>
      </w:r>
    </w:p>
    <w:p>
      <w:pPr>
        <w:spacing w:line="360" w:lineRule="auto" w:after="20"/>
      </w:pPr>
      <w:r>
        <w:t>D.当潜在客户向会计师提供个人详细信息时，表现出自信的态度。</w:t>
      </w:r>
    </w:p>
    <w:p>
      <w:pPr>
        <w:spacing w:line="360" w:lineRule="auto" w:after="20"/>
      </w:pPr>
      <w:r>
        <w:t>E.潜在客户能够提供资金来源和财富来源的相关文件。</w:t>
      </w:r>
    </w:p>
    <w:p>
      <w:pPr>
        <w:spacing w:line="360" w:lineRule="auto" w:after="40"/>
      </w:pPr>
      <w:r>
        <w:t>答案:B、C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在客户准入场景下识别信息不透明与受益所有人缺失这两类红旗信号</w:t>
      </w:r>
    </w:p>
    <w:p>
      <w:pPr>
        <w:spacing w:line="360" w:lineRule="auto" w:after="40"/>
      </w:pPr>
      <w:r>
        <w:rPr>
          <w:b/>
          <w:shd w:fill="D6E4F0" w:val="clear"/>
        </w:rPr>
        <w:t>核心解析：</w:t>
      </w:r>
    </w:p>
    <w:p>
      <w:pPr>
        <w:spacing w:line="360" w:lineRule="auto" w:after="40"/>
      </w:pPr>
      <w:r>
        <w:t>在反洗钱框架下，客户尽职调查（CDD）要求机构</w:t>
      </w:r>
      <w:r>
        <w:rPr>
          <w:b/>
        </w:rPr>
        <w:t>识别并验证受益所有人（BO）及最终受益所有人（UBO）</w:t>
      </w:r>
      <w:r>
        <w:t>，并</w:t>
      </w:r>
      <w:r>
        <w:rPr>
          <w:b/>
        </w:rPr>
        <w:t>了解实体的真实目的</w:t>
      </w:r>
      <w:r>
        <w:rPr>
          <w:sz w:val="15"/>
          <w:vertAlign w:val="superscript"/>
        </w:rPr>
        <w:t>P311</w:t>
      </w:r>
      <w:r>
        <w:t>。无法提供受益所有人信息，直接违反这一核心义务，构成必须上报的严重红旗信号。与此同时，教材将</w:t>
      </w:r>
      <w:r>
        <w:rPr>
          <w:b/>
        </w:rPr>
        <w:t>“缺乏透明度”</w:t>
      </w:r>
      <w:r>
        <w:t>（lack of transparency）列为关键风险指标——它使获取公司和交易的完整信息变得困难</w:t>
      </w:r>
      <w:r>
        <w:rPr>
          <w:sz w:val="15"/>
          <w:vertAlign w:val="superscript"/>
        </w:rPr>
        <w:t>P341</w:t>
      </w:r>
      <w:r>
        <w:t>。题干中客户对拟议业务细节描述含混不清且对业务活动知之甚少，正属于信息不透明的典型表现。当会计师面对一个既说不清自己生意、又无法交代公司真正所有者是谁的潜在客户时，这两个信号叠加在一起，意味着机构可能无法完成风险最低标准的评估，符合教材中</w:t>
      </w:r>
      <w:r>
        <w:rPr>
          <w:b/>
        </w:rPr>
        <w:t>“尽职调查后若风险不可接受，机构可要求补充文件或拒绝客户”</w:t>
      </w:r>
      <w:r>
        <w:t>的上报逻辑</w:t>
      </w:r>
      <w:r>
        <w:rPr>
          <w:sz w:val="15"/>
          <w:vertAlign w:val="superscript"/>
        </w:rPr>
        <w:t>P306</w:t>
      </w:r>
      <w:r>
        <w:t>。</w:t>
      </w:r>
    </w:p>
    <w:p>
      <w:pPr>
        <w:spacing w:line="360" w:lineRule="auto" w:after="40"/>
      </w:pPr>
      <w:r>
        <w:rPr>
          <w:b/>
          <w:shd w:fill="D6E4F0" w:val="clear"/>
        </w:rPr>
        <w:t>教材原句：</w:t>
      </w:r>
    </w:p>
    <w:p>
      <w:pPr>
        <w:spacing w:line="360" w:lineRule="auto" w:after="40"/>
      </w:pPr>
      <w:r>
        <w:t>"Identification and verification of beneficial owners (BO) and ultimate beneficial owners (UBO)."</w:t>
      </w:r>
      <w:r>
        <w:rPr>
          <w:sz w:val="15"/>
          <w:vertAlign w:val="superscript"/>
        </w:rPr>
        <w:t>P311</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进出口行业并非天然无风险；教材指出该行业因跨多个司法管辖区而更易受到资金来源风险影响，并将“与特定司法管辖区有关联的进出口公司”列为红旗</w:t>
      </w:r>
      <w:r>
        <w:rPr>
          <w:sz w:val="15"/>
          <w:vertAlign w:val="superscript"/>
        </w:rPr>
        <w:t>P75-P76</w:t>
      </w:r>
      <w:r>
        <w:t>。但题干没有给出高风险司法管辖区、异常单证或价格、可疑资金来源等额外要素，因此仅凭“进口和出口新家具”尚不足以触发上报。</w:t>
      </w:r>
    </w:p>
    <w:p>
      <w:pPr>
        <w:spacing w:line="360" w:lineRule="auto" w:after="40"/>
      </w:pPr>
      <w:r>
        <w:rPr>
          <w:b/>
          <w:shd w:fill="D6E4F0" w:val="clear"/>
        </w:rPr>
        <w:t>D项错误：</w:t>
      </w:r>
    </w:p>
    <w:p>
      <w:pPr>
        <w:spacing w:line="360" w:lineRule="auto" w:after="40"/>
      </w:pPr>
      <w:r>
        <w:t>教材提到工作人员应通过对话式沟通让客户放松，而非将面谈变成审讯。客户在提供个人信息时表现出自信，更吻合良好人际互动下的正常反应，而不具备与洗钱风险相关联的警示特征。</w:t>
      </w:r>
    </w:p>
    <w:p>
      <w:pPr>
        <w:spacing w:line="360" w:lineRule="auto" w:after="40"/>
      </w:pPr>
      <w:r>
        <w:rPr>
          <w:b/>
          <w:shd w:fill="D6E4F0" w:val="clear"/>
        </w:rPr>
        <w:t>E项错误：</w:t>
      </w:r>
    </w:p>
    <w:p>
      <w:pPr>
        <w:spacing w:line="360" w:lineRule="auto" w:after="40"/>
      </w:pPr>
      <w:r>
        <w:t>能够提供资金来源和财富来源文件，说明客户提供了KYC阶段需要识别、验证和评估风险的信息，但文件存在本身不能证明风险已经降低。题干没有描述文件矛盾、虚假或无法解释的情况，因此该选项单独不足以构成上报红旗。</w:t>
      </w:r>
    </w:p>
    <w:p>
      <w:pPr>
        <w:spacing w:line="360" w:lineRule="auto" w:after="40"/>
      </w:pPr>
      <w:r>
        <w:rPr>
          <w:b/>
          <w:shd w:fill="D6E4F0" w:val="clear"/>
        </w:rPr>
        <w:t>易错提醒：</w:t>
      </w:r>
    </w:p>
    <w:p>
      <w:pPr>
        <w:spacing w:line="360" w:lineRule="auto" w:after="40"/>
      </w:pPr>
      <w:r>
        <w:t>自信（选项D）与信息透明是两回事。教材强调匿名与谨慎之间的区别——客户态度自信不意味着其提供的信息是准确或完整的。反之，真正需要警惕的是客户是否回避实质性问题，即对业务和所有权结构做含混处理</w:t>
      </w:r>
      <w:r>
        <w:rPr>
          <w:sz w:val="15"/>
          <w:vertAlign w:val="superscript"/>
        </w:rPr>
        <w:t>P341</w:t>
      </w:r>
      <w:r>
        <w:t>，而非其面谈时的神态是否紧张。</w:t>
      </w:r>
    </w:p>
    <w:p>
      <w:pPr>
        <w:spacing w:line="360" w:lineRule="auto" w:after="120"/>
      </w:pPr>
      <w:r/>
    </w:p>
    <w:p>
      <w:pPr>
        <w:spacing w:line="360" w:lineRule="auto" w:after="40"/>
      </w:pPr>
      <w:r>
        <w:t>10. 以下哪些业务需要增强或额外的场景来识别异常交易？（选择两项。）</w:t>
      </w:r>
    </w:p>
    <w:p>
      <w:pPr>
        <w:spacing w:line="360" w:lineRule="auto" w:after="20"/>
      </w:pPr>
      <w:r>
        <w:t>A.从事现金密集型业务且不受许可要求约束的公司</w:t>
      </w:r>
    </w:p>
    <w:p>
      <w:pPr>
        <w:spacing w:line="360" w:lineRule="auto" w:after="20"/>
      </w:pPr>
      <w:r>
        <w:t>B.经营医院和医疗保健服务的公司</w:t>
      </w:r>
    </w:p>
    <w:p>
      <w:pPr>
        <w:spacing w:line="360" w:lineRule="auto" w:after="20"/>
      </w:pPr>
      <w:r>
        <w:t>C.从事现金密集型业务且受许可要求约束的公司</w:t>
      </w:r>
    </w:p>
    <w:p>
      <w:pPr>
        <w:spacing w:line="360" w:lineRule="auto" w:after="20"/>
      </w:pPr>
      <w:r>
        <w:t>D.生产药品和医疗器械的公司、从事矿业的公司</w:t>
      </w:r>
    </w:p>
    <w:p>
      <w:pPr>
        <w:spacing w:line="360" w:lineRule="auto" w:after="20"/>
      </w:pPr>
      <w:r>
        <w:t>E.在全国范围内经营零售店的公司</w:t>
      </w:r>
    </w:p>
    <w:p>
      <w:pPr>
        <w:spacing w:line="360" w:lineRule="auto" w:after="40"/>
      </w:pPr>
      <w:r>
        <w:t>答案:A、C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识别需要增强交易监控场景的</w:t>
      </w:r>
      <w:r>
        <w:rPr>
          <w:b/>
        </w:rPr>
        <w:t>现金密集型业务</w:t>
      </w:r>
      <w:r>
        <w:t>。</w:t>
      </w:r>
    </w:p>
    <w:p>
      <w:pPr>
        <w:spacing w:line="360" w:lineRule="auto" w:after="40"/>
      </w:pPr>
      <w:r>
        <w:rPr>
          <w:b/>
          <w:shd w:fill="D6E4F0" w:val="clear"/>
        </w:rPr>
        <w:t>核心解析：</w:t>
      </w:r>
    </w:p>
    <w:p>
      <w:pPr>
        <w:spacing w:line="360" w:lineRule="auto" w:after="40"/>
      </w:pPr>
      <w:r>
        <w:rPr>
          <w:b/>
        </w:rPr>
        <w:t>现金密集型业务本身会增加交易追踪和资金来源确认难度</w:t>
      </w:r>
      <w:r>
        <w:rPr>
          <w:sz w:val="15"/>
          <w:vertAlign w:val="superscript"/>
        </w:rPr>
        <w:t>P65、P312</w:t>
      </w:r>
      <w:r>
        <w:t>，无论是否持牌，都需要与其业务模式相匹配的</w:t>
      </w:r>
      <w:r>
        <w:rPr>
          <w:b/>
        </w:rPr>
        <w:t>监控场景</w:t>
      </w:r>
      <w:r>
        <w:t>。A是不受许可约束的现金密集型业务，监管覆盖更弱；C是受许可约束的现金密集型业务，虽然有外部监管，仍可能出现</w:t>
      </w:r>
      <w:r>
        <w:rPr>
          <w:b/>
        </w:rPr>
        <w:t>大量现金和异常交易</w:t>
      </w:r>
      <w:r>
        <w:t>，因此仍需增强或额外场景。D的制药、医疗器械和矿业表述并未在本题教材对应段落中作为该问题的两项答案。</w:t>
      </w:r>
    </w:p>
    <w:p>
      <w:pPr>
        <w:spacing w:line="360" w:lineRule="auto" w:after="40"/>
      </w:pPr>
      <w:r>
        <w:rPr>
          <w:b/>
          <w:shd w:fill="D6E4F0" w:val="clear"/>
        </w:rPr>
        <w:t>错误项分析：</w:t>
      </w:r>
    </w:p>
    <w:p>
      <w:pPr>
        <w:spacing w:line="360" w:lineRule="auto" w:after="40"/>
      </w:pPr>
      <w:r>
        <w:rPr>
          <w:b/>
          <w:shd w:fill="D6E4F0" w:val="clear"/>
        </w:rPr>
        <w:t>B、D、E项错误：</w:t>
      </w:r>
    </w:p>
    <w:p>
      <w:pPr>
        <w:spacing w:line="360" w:lineRule="auto" w:after="40"/>
      </w:pPr>
      <w:r>
        <w:t>这些行业或许在特定情形下需要风险评估，但题干要求的是教材中应额外配置场景的现金密集型业务，A、C匹配更直接。</w:t>
      </w:r>
    </w:p>
    <w:p>
      <w:pPr>
        <w:spacing w:line="360" w:lineRule="auto" w:after="40"/>
      </w:pPr>
      <w:r>
        <w:rPr>
          <w:b/>
          <w:shd w:fill="D6E4F0" w:val="clear"/>
        </w:rPr>
        <w:t>易错提醒：</w:t>
      </w:r>
    </w:p>
    <w:p>
      <w:pPr>
        <w:spacing w:line="360" w:lineRule="auto" w:after="40"/>
      </w:pPr>
      <w:r>
        <w:t>“</w:t>
      </w:r>
      <w:r>
        <w:rPr>
          <w:b/>
        </w:rPr>
        <w:t>持牌</w:t>
      </w:r>
      <w:r>
        <w:t>”只说明存在监管，不代表现金密集型业务可以使用普通监控；</w:t>
      </w:r>
      <w:r>
        <w:rPr>
          <w:b/>
        </w:rPr>
        <w:t>许可状态不会消除固有现金风险</w:t>
      </w:r>
      <w:r>
        <w:t>。</w:t>
      </w:r>
    </w:p>
    <w:p>
      <w:pPr>
        <w:spacing w:line="360" w:lineRule="auto" w:after="120"/>
      </w:pPr>
      <w:r/>
    </w:p>
    <w:p>
      <w:pPr>
        <w:spacing w:line="360" w:lineRule="auto" w:after="40"/>
      </w:pPr>
      <w:r>
        <w:t>11. 一家金融机构(FI)的合规官正在审查一家虚拟资产服务提供商(VASP)的新客户申请.在确定客户是否属于金融机构的金融犯罪风险偏好范围时,风险评估应包含哪些细节？（选择三项。）</w:t>
      </w:r>
    </w:p>
    <w:p>
      <w:pPr>
        <w:spacing w:line="360" w:lineRule="auto" w:after="20"/>
      </w:pPr>
      <w:r>
        <w:t>A.虚拟资产服务提供商(VASP)的程序是否足以保护客户个人身份信息</w:t>
      </w:r>
    </w:p>
    <w:p>
      <w:pPr>
        <w:spacing w:line="360" w:lineRule="auto" w:after="20"/>
      </w:pPr>
      <w:r>
        <w:t>B.该虚拟资产服务提供商(VASP)的客户中有多少比例被归类为高风险客户？</w:t>
      </w:r>
    </w:p>
    <w:p>
      <w:pPr>
        <w:spacing w:line="360" w:lineRule="auto" w:after="20"/>
      </w:pPr>
      <w:r>
        <w:t>C.哪些注册机构作为虚拟资产服务提供商(VASP)的代理机构运营虚拟资产钱包和虚拟资产交易办公室</w:t>
      </w:r>
    </w:p>
    <w:p>
      <w:pPr>
        <w:spacing w:line="360" w:lineRule="auto" w:after="20"/>
      </w:pPr>
      <w:r>
        <w:t>D.中央银行数字货币</w:t>
      </w:r>
    </w:p>
    <w:p>
      <w:pPr>
        <w:spacing w:line="360" w:lineRule="auto" w:after="20"/>
      </w:pPr>
      <w:r>
        <w:t>E.该虚拟资产服务提供商(VASP)的客户是谁,包括外国和国内个人客户的详细信息</w:t>
      </w:r>
    </w:p>
    <w:p>
      <w:pPr>
        <w:spacing w:line="360" w:lineRule="auto" w:after="40"/>
      </w:pPr>
      <w:r>
        <w:t>答案:B、C、E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客户风险评估需涵盖</w:t>
      </w:r>
      <w:r>
        <w:rPr>
          <w:b/>
        </w:rPr>
        <w:t>客户画像、管辖权及第三方关联信息</w:t>
      </w:r>
    </w:p>
    <w:p>
      <w:pPr>
        <w:spacing w:line="360" w:lineRule="auto" w:after="40"/>
      </w:pPr>
      <w:r>
        <w:rPr>
          <w:b/>
          <w:shd w:fill="D6E4F0" w:val="clear"/>
        </w:rPr>
        <w:t>核心解析：</w:t>
      </w:r>
    </w:p>
    <w:p>
      <w:pPr>
        <w:spacing w:line="360" w:lineRule="auto" w:after="40"/>
      </w:pPr>
      <w:r>
        <w:t>客户风险评估（CRA）是一项合规流程，通过评估多种风险因素，确定客户构成的金融犯罪风险及所需的监控与审查级别</w:t>
      </w:r>
      <w:r>
        <w:rPr>
          <w:sz w:val="15"/>
          <w:vertAlign w:val="superscript"/>
        </w:rPr>
        <w:t>P307</w:t>
      </w:r>
      <w:r>
        <w:t>。题目中，金融机构在准入阶段审查虚拟资产服务提供商（VASP）是否符合自身的金融犯罪风险偏好，本质上就是在执行</w:t>
      </w:r>
      <w:r>
        <w:rPr>
          <w:b/>
        </w:rPr>
        <w:t>客户风险评估（CRA）</w:t>
      </w:r>
      <w:r>
        <w:t>。依据教材列出的关键风险要素</w:t>
      </w:r>
      <w:r>
        <w:rPr>
          <w:sz w:val="15"/>
          <w:vertAlign w:val="superscript"/>
        </w:rPr>
        <w:t>P307</w:t>
      </w:r>
      <w:r>
        <w:t>，了解“该VASP的客户是谁，包括国内外个人客户的详细信息”（选项E）直接对应客户画像要素，可揭示客户基础结构及管辖地风险；了解“该VASP的客户中有多少比例被归类为高风险”（选项B）有助于剖析该VASP的客户组成与业务性质，分析客户群的固有风险水平</w:t>
      </w:r>
      <w:r>
        <w:rPr>
          <w:sz w:val="15"/>
          <w:vertAlign w:val="superscript"/>
        </w:rPr>
        <w:t>P312</w:t>
      </w:r>
      <w:r>
        <w:t>；了解“哪些注册机构作为VASP的代理机构运营虚拟资产钱包和交易办公室”（选项C）能帮助识别是否存在监管框架外的高风险第三方，这与数字资产交易筛查侧重识别高风险VASP的逻辑一致</w:t>
      </w:r>
      <w:r>
        <w:rPr>
          <w:sz w:val="15"/>
          <w:vertAlign w:val="superscript"/>
        </w:rPr>
        <w:t>P434</w:t>
      </w:r>
      <w:r>
        <w:t>。这三项分别从客户群构成、高风险敞口和第三方代理关系切入，共同构成了对VASP金融犯罪风险偏好的评估基础。</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保护客户个人身份信息（PII）的程序属于数据安全与隐私保护范畴，而非教材定义的客户风险评估中的直接金融犯罪风险要素。题干要求评估VASP是否符合金融机构的金融犯罪风险偏好，选项A与客户群构成、高风险比例等要素相比，与金融犯罪风险的关联度更弱。</w:t>
      </w:r>
    </w:p>
    <w:p>
      <w:pPr>
        <w:spacing w:line="360" w:lineRule="auto" w:after="40"/>
      </w:pPr>
      <w:r>
        <w:rPr>
          <w:b/>
          <w:shd w:fill="D6E4F0" w:val="clear"/>
        </w:rPr>
        <w:t>D项错误：</w:t>
      </w:r>
    </w:p>
    <w:p>
      <w:pPr>
        <w:spacing w:line="360" w:lineRule="auto" w:after="40"/>
      </w:pPr>
      <w:r>
        <w:t>中央银行数字货币（CBDC）是政府发行的数字法定货币</w:t>
      </w:r>
      <w:r>
        <w:rPr>
          <w:sz w:val="15"/>
          <w:vertAlign w:val="superscript"/>
        </w:rPr>
        <w:t>P112-113</w:t>
      </w:r>
      <w:r>
        <w:t>，教材并未将其列为评估VASP客户金融犯罪风险的标准细节。即使VASP使用了CBDC，也不能像了解其客户构成或代理关系那样直接反映金融犯罪风险水平，因此该项与题干要求的匹配度不如B、C、E。</w:t>
      </w:r>
    </w:p>
    <w:p>
      <w:pPr>
        <w:spacing w:line="360" w:lineRule="auto" w:after="40"/>
      </w:pPr>
      <w:r>
        <w:rPr>
          <w:b/>
          <w:shd w:fill="D6E4F0" w:val="clear"/>
        </w:rPr>
        <w:t>易错提醒：</w:t>
      </w:r>
    </w:p>
    <w:p>
      <w:pPr>
        <w:spacing w:line="360" w:lineRule="auto" w:after="40"/>
      </w:pPr>
      <w:r>
        <w:t>客户风险评估聚焦</w:t>
      </w:r>
      <w:r>
        <w:rPr>
          <w:b/>
        </w:rPr>
        <w:t>金融犯罪风险因素（如客户画像、管辖地、产品风险）</w:t>
      </w:r>
      <w:r>
        <w:t>，而非运营安全或技术保护措施。不要将与反洗钱合规间接相关的控制（如数据保护程序、使用的技术类型）直接等同于金融犯罪风险评估内容。</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