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line="360" w:lineRule="auto" w:after="240"/>
      </w:pPr>
      <w:r>
        <w:t>试卷名称:CAMS CH10</w:t>
      </w:r>
    </w:p>
    <w:p>
      <w:pPr>
        <w:spacing w:line="360" w:lineRule="auto" w:after="160"/>
      </w:pPr>
      <w:r>
        <w:t>一、单项选择题</w:t>
      </w:r>
    </w:p>
    <w:p>
      <w:pPr>
        <w:spacing w:line="360" w:lineRule="auto" w:after="40"/>
      </w:pPr>
      <w:r>
        <w:t>1. 一家全球性金融机构正在对其尽职调查流程进行全面审查，以加强其抵御金融犯罪的能力。近期事件凸显了与员工不当行为相关的漏洞，包括未经授权的交易和敏感客户信息泄露。此外，该金融机构还面临第三方供应商未能达到合规标准的问题，导致监管审查增加。以下哪项措施最能有效满足银行对员工、供应商和第三方的尽职调查需求，以降低内部威胁并确保遵守反洗钱法规？</w:t>
      </w:r>
    </w:p>
    <w:p>
      <w:pPr>
        <w:spacing w:line="360" w:lineRule="auto" w:after="20"/>
      </w:pPr>
      <w:r>
        <w:t>A.依靠供应商和员工定期提交的自我报告合规证明来确认其是否遵守反洗钱标准</w:t>
      </w:r>
    </w:p>
    <w:p>
      <w:pPr>
        <w:spacing w:line="360" w:lineRule="auto" w:after="20"/>
      </w:pPr>
      <w:r>
        <w:t>B.建立针对员工、供应商和第三方的监控计划，包括定期风险评估、访问控制以及对其遵守反洗钱政策情况的定期审查</w:t>
      </w:r>
    </w:p>
    <w:p>
      <w:pPr>
        <w:spacing w:line="360" w:lineRule="auto" w:after="20"/>
      </w:pPr>
      <w:r>
        <w:t>C.在员工和供应商入职或合作开始前实施背景调查，以识别任何潜在风险因素</w:t>
      </w:r>
    </w:p>
    <w:p>
      <w:pPr>
        <w:spacing w:line="360" w:lineRule="auto" w:after="20"/>
      </w:pPr>
      <w:r>
        <w:t>D.限制在高风险司法管辖区的供应商和第三方数量，以降低合规风险</w:t>
      </w:r>
    </w:p>
    <w:p>
      <w:pPr>
        <w:spacing w:line="360" w:lineRule="auto" w:after="40"/>
      </w:pPr>
      <w:r>
        <w:t>答案:B</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rPr>
          <w:b/>
        </w:rPr>
        <w:t>区分入职时点检查与涵盖全生命周期的持续监控计划</w:t>
      </w:r>
    </w:p>
    <w:p>
      <w:pPr>
        <w:spacing w:line="360" w:lineRule="auto" w:after="40"/>
      </w:pPr>
      <w:r>
        <w:rPr>
          <w:b/>
          <w:shd w:fill="D6E4F0" w:val="clear"/>
        </w:rPr>
        <w:t>核心解析：</w:t>
      </w:r>
    </w:p>
    <w:p>
      <w:pPr>
        <w:spacing w:line="360" w:lineRule="auto" w:after="40"/>
      </w:pPr>
      <w:r>
        <w:t>健全的员工尽职调查（KYE）计划可以降低员工相关风险，了解你的供应商（KYV）计划用于评估第三方供应商风险</w:t>
      </w:r>
      <w:r>
        <w:rPr>
          <w:sz w:val="15"/>
          <w:vertAlign w:val="superscript"/>
        </w:rPr>
        <w:t>P324</w:t>
      </w:r>
      <w:r>
        <w:t>。教材进一步要求，针对员工和供应商的风险，机构应在</w:t>
      </w:r>
      <w:r>
        <w:rPr>
          <w:b/>
        </w:rPr>
        <w:t>入职或合作开始时以及整个关系存续期间</w:t>
      </w:r>
      <w:r>
        <w:t>实施健全的尽职调查和监控计划</w:t>
      </w:r>
      <w:r>
        <w:rPr>
          <w:sz w:val="15"/>
          <w:vertAlign w:val="superscript"/>
        </w:rPr>
        <w:t>P324</w:t>
      </w:r>
      <w:r>
        <w:t>；供应商管理还应开展尽职调查和风险评估，确认第三方遵守金融犯罪防控政策</w:t>
      </w:r>
      <w:r>
        <w:rPr>
          <w:sz w:val="15"/>
          <w:vertAlign w:val="superscript"/>
        </w:rPr>
        <w:t>P263</w:t>
      </w:r>
      <w:r>
        <w:t>。题干同时出现已发生的员工不当行为和存续供应商合规失败，说明只做准入检查不够。B是唯一</w:t>
      </w:r>
      <w:r>
        <w:rPr>
          <w:b/>
        </w:rPr>
        <w:t>同时覆盖员工、供应商和第三方</w:t>
      </w:r>
      <w:r>
        <w:t>，并包含定期风险评估、访问控制和持续合规复核的选项，因此最完整地对应教材的全生命周期要求。</w:t>
      </w:r>
    </w:p>
    <w:p>
      <w:pPr>
        <w:spacing w:line="360" w:lineRule="auto" w:after="40"/>
      </w:pPr>
      <w:r>
        <w:rPr>
          <w:b/>
          <w:shd w:fill="D6E4F0" w:val="clear"/>
        </w:rPr>
        <w:t>教材原句：</w:t>
      </w:r>
    </w:p>
    <w:p>
      <w:pPr>
        <w:spacing w:line="360" w:lineRule="auto" w:after="40"/>
      </w:pPr>
      <w:r>
        <w:t>"To mitigate or control those risks, organizations should have robust due diligence and monitoring programs at onboarding and throughout the lifetime of the relationship."</w:t>
      </w:r>
    </w:p>
    <w:p>
      <w:pPr>
        <w:spacing w:line="360" w:lineRule="auto" w:after="40"/>
      </w:pPr>
      <w:r>
        <w:rPr>
          <w:b/>
          <w:shd w:fill="D6E4F0" w:val="clear"/>
        </w:rPr>
        <w:t>错误项分析：</w:t>
      </w:r>
    </w:p>
    <w:p>
      <w:pPr>
        <w:spacing w:line="360" w:lineRule="auto" w:after="40"/>
      </w:pPr>
      <w:r>
        <w:rPr>
          <w:b/>
          <w:shd w:fill="D6E4F0" w:val="clear"/>
        </w:rPr>
        <w:t>A项错误：</w:t>
      </w:r>
    </w:p>
    <w:p>
      <w:pPr>
        <w:spacing w:line="360" w:lineRule="auto" w:after="40"/>
      </w:pPr>
      <w:r>
        <w:t>A只取得员工和供应商的自我声明，没有包含机构主动开展的尽职调查、风险评估和关系存续期监控。教材要求的是健全的尽职调查和监控计划</w:t>
      </w:r>
      <w:r>
        <w:rPr>
          <w:sz w:val="15"/>
          <w:vertAlign w:val="superscript"/>
        </w:rPr>
        <w:t>P324</w:t>
      </w:r>
      <w:r>
        <w:t>，因此A覆盖不足。</w:t>
      </w:r>
    </w:p>
    <w:p>
      <w:pPr>
        <w:spacing w:line="360" w:lineRule="auto" w:after="40"/>
      </w:pPr>
      <w:r>
        <w:rPr>
          <w:b/>
          <w:shd w:fill="D6E4F0" w:val="clear"/>
        </w:rPr>
        <w:t>C项错误：</w:t>
      </w:r>
    </w:p>
    <w:p>
      <w:pPr>
        <w:spacing w:line="360" w:lineRule="auto" w:after="40"/>
      </w:pPr>
      <w:r>
        <w:t>新员工背景调查是必要措施，供应商在合作开始时也应接受尽职调查</w:t>
      </w:r>
      <w:r>
        <w:rPr>
          <w:sz w:val="15"/>
          <w:vertAlign w:val="superscript"/>
        </w:rPr>
        <w:t>P324</w:t>
      </w:r>
      <w:r>
        <w:t>；但教材还指出，在员工整个任职期间持续检查其是否遵守政策可提供进一步保证</w:t>
      </w:r>
      <w:r>
        <w:rPr>
          <w:sz w:val="15"/>
          <w:vertAlign w:val="superscript"/>
        </w:rPr>
        <w:t>P324</w:t>
      </w:r>
      <w:r>
        <w:t>。C只覆盖准入时点，无法回应题干中已经发生的存续期问题。</w:t>
      </w:r>
    </w:p>
    <w:p>
      <w:pPr>
        <w:spacing w:line="360" w:lineRule="auto" w:after="40"/>
      </w:pPr>
      <w:r>
        <w:rPr>
          <w:b/>
          <w:shd w:fill="D6E4F0" w:val="clear"/>
        </w:rPr>
        <w:t>D项错误：</w:t>
      </w:r>
    </w:p>
    <w:p>
      <w:pPr>
        <w:spacing w:line="360" w:lineRule="auto" w:after="40"/>
      </w:pPr>
      <w:r>
        <w:t>D只限制高风险司法管辖区的供应商和第三方数量，既未覆盖员工，也没有建立对现有关系的风险评估和合规复核。它不能完整回应题干列出的两类风险</w:t>
      </w:r>
      <w:r>
        <w:rPr>
          <w:sz w:val="15"/>
          <w:vertAlign w:val="superscript"/>
        </w:rPr>
        <w:t>P263、P324</w:t>
      </w:r>
      <w:r>
        <w:t>。</w:t>
      </w:r>
    </w:p>
    <w:p>
      <w:pPr>
        <w:spacing w:line="360" w:lineRule="auto" w:after="40"/>
      </w:pPr>
      <w:r>
        <w:rPr>
          <w:b/>
          <w:shd w:fill="D6E4F0" w:val="clear"/>
        </w:rPr>
        <w:t>易错提醒：</w:t>
      </w:r>
    </w:p>
    <w:p>
      <w:pPr>
        <w:spacing w:line="360" w:lineRule="auto" w:after="40"/>
      </w:pPr>
      <w:r>
        <w:t>背景调查和持续监控的核心区别是时间覆盖。背景调查解决准入时点风险；教材要求的KYE/KYV计划还覆盖整个关系存续期</w:t>
      </w:r>
      <w:r>
        <w:rPr>
          <w:sz w:val="15"/>
          <w:vertAlign w:val="superscript"/>
        </w:rPr>
        <w:t>P324</w:t>
      </w:r>
      <w:r>
        <w:t>。题干列举的未经授权交易、信息泄露和供应商持续不合规都发生在关系建立之后，因此B优于只做前置背景调查的C。</w:t>
      </w:r>
    </w:p>
    <w:p>
      <w:pPr>
        <w:spacing w:line="360" w:lineRule="auto" w:after="120"/>
      </w:pPr>
      <w:r/>
    </w:p>
    <w:p>
      <w:pPr>
        <w:spacing w:line="360" w:lineRule="auto" w:after="40"/>
      </w:pPr>
      <w:r>
        <w:t>2. 某银行人力资源部的一位招聘经理已将一名候选人列入私人银行部门客户经理职位的最终候选名单。该银行的合规政策规定，招聘团队必须对新员工进行适当的背景调查，以保护银行免受欺诈和洗钱等潜在风险。在识别入围候选人的潜在负面信息时，哪些资源最有用？（请选择三项。）</w:t>
      </w:r>
    </w:p>
    <w:p>
      <w:pPr>
        <w:spacing w:line="360" w:lineRule="auto" w:after="20"/>
      </w:pPr>
      <w:r>
        <w:t>A.犯罪记录查询</w:t>
      </w:r>
    </w:p>
    <w:p>
      <w:pPr>
        <w:spacing w:line="360" w:lineRule="auto" w:after="20"/>
      </w:pPr>
      <w:r>
        <w:t>B.个人简历</w:t>
      </w:r>
    </w:p>
    <w:p>
      <w:pPr>
        <w:spacing w:line="360" w:lineRule="auto" w:after="20"/>
      </w:pPr>
      <w:r>
        <w:t>C.互联网和公共媒体搜索</w:t>
      </w:r>
    </w:p>
    <w:p>
      <w:pPr>
        <w:spacing w:line="360" w:lineRule="auto" w:after="20"/>
      </w:pPr>
      <w:r>
        <w:t>D.过往任职记录</w:t>
      </w:r>
    </w:p>
    <w:p>
      <w:pPr>
        <w:spacing w:line="360" w:lineRule="auto" w:after="20"/>
      </w:pPr>
      <w:r>
        <w:t>E.亲近同事的个人推荐信</w:t>
      </w:r>
    </w:p>
    <w:p>
      <w:pPr>
        <w:spacing w:line="360" w:lineRule="auto" w:after="40"/>
      </w:pPr>
      <w:r>
        <w:t>答案:A、C、D</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rPr>
          <w:b/>
        </w:rPr>
        <w:t>新员工背景调查中可独立核验负面信息的资料来源</w:t>
      </w:r>
    </w:p>
    <w:p>
      <w:pPr>
        <w:spacing w:line="360" w:lineRule="auto" w:after="40"/>
      </w:pPr>
      <w:r>
        <w:rPr>
          <w:b/>
          <w:shd w:fill="D6E4F0" w:val="clear"/>
        </w:rPr>
        <w:t>核心解析：</w:t>
      </w:r>
    </w:p>
    <w:p>
      <w:pPr>
        <w:spacing w:line="360" w:lineRule="auto" w:after="40"/>
      </w:pPr>
      <w:r>
        <w:t>教材要求</w:t>
      </w:r>
      <w:r>
        <w:rPr>
          <w:b/>
        </w:rPr>
        <w:t>所有新员工接受背景调查</w:t>
      </w:r>
      <w:r>
        <w:t>，并直接列举</w:t>
      </w:r>
      <w:r>
        <w:rPr>
          <w:b/>
        </w:rPr>
        <w:t>联系前雇主和负面媒体检查</w:t>
      </w:r>
      <w:r>
        <w:t>等方式</w:t>
      </w:r>
      <w:r>
        <w:rPr>
          <w:sz w:val="15"/>
          <w:vertAlign w:val="superscript"/>
        </w:rPr>
        <w:t>P324</w:t>
      </w:r>
      <w:r>
        <w:t>。因此，D“过往任职记录”对应联系前雇主核实任职经历，C“互联网和公共媒体搜索”对应负面媒体检查</w:t>
      </w:r>
      <w:r>
        <w:rPr>
          <w:sz w:val="15"/>
          <w:vertAlign w:val="superscript"/>
        </w:rPr>
        <w:t>P324</w:t>
      </w:r>
      <w:r>
        <w:t>。教材还将公共记录列为开源调查资料</w:t>
      </w:r>
      <w:r>
        <w:rPr>
          <w:sz w:val="15"/>
          <w:vertAlign w:val="superscript"/>
        </w:rPr>
        <w:t>P334</w:t>
      </w:r>
      <w:r>
        <w:t>；犯罪记录查询属于利用</w:t>
      </w:r>
      <w:r>
        <w:rPr>
          <w:b/>
        </w:rPr>
        <w:t>权威公共记录核验候选人潜在负面信息</w:t>
      </w:r>
      <w:r>
        <w:t>的典型应用，对应A。三者都能提供相对独立、可核实的信息，因此答案为A、C、D。</w:t>
      </w:r>
    </w:p>
    <w:p>
      <w:pPr>
        <w:spacing w:line="360" w:lineRule="auto" w:after="40"/>
      </w:pPr>
      <w:r>
        <w:rPr>
          <w:b/>
          <w:shd w:fill="D6E4F0" w:val="clear"/>
        </w:rPr>
        <w:t>错误项分析：</w:t>
      </w:r>
    </w:p>
    <w:p>
      <w:pPr>
        <w:spacing w:line="360" w:lineRule="auto" w:after="40"/>
      </w:pPr>
      <w:r>
        <w:rPr>
          <w:b/>
          <w:shd w:fill="D6E4F0" w:val="clear"/>
        </w:rPr>
        <w:t>B项错误：</w:t>
      </w:r>
    </w:p>
    <w:p>
      <w:pPr>
        <w:spacing w:line="360" w:lineRule="auto" w:after="40"/>
      </w:pPr>
      <w:r>
        <w:t>个人简历由候选人自行提供，可用于形成待核实的履历线索，但不能替代教材所列的前雇主联系、负面媒体检查等独立背景调查来源</w:t>
      </w:r>
      <w:r>
        <w:rPr>
          <w:sz w:val="15"/>
          <w:vertAlign w:val="superscript"/>
        </w:rPr>
        <w:t>P324</w:t>
      </w:r>
      <w:r>
        <w:t>。</w:t>
      </w:r>
    </w:p>
    <w:p>
      <w:pPr>
        <w:spacing w:line="360" w:lineRule="auto" w:after="40"/>
      </w:pPr>
      <w:r>
        <w:rPr>
          <w:b/>
          <w:shd w:fill="D6E4F0" w:val="clear"/>
        </w:rPr>
        <w:t>E项错误：</w:t>
      </w:r>
    </w:p>
    <w:p>
      <w:pPr>
        <w:spacing w:line="360" w:lineRule="auto" w:after="40"/>
      </w:pPr>
      <w:r>
        <w:t>亲近同事的推荐信可能受私人关系影响，主要反映推荐人的评价，难以独立核实候选人的潜在负面信息，其客观性弱于犯罪记录、公开媒体和既往雇佣记录。</w:t>
      </w:r>
    </w:p>
    <w:p>
      <w:pPr>
        <w:spacing w:line="360" w:lineRule="auto" w:after="40"/>
      </w:pPr>
      <w:r>
        <w:rPr>
          <w:b/>
          <w:shd w:fill="D6E4F0" w:val="clear"/>
        </w:rPr>
        <w:t>易错提醒：</w:t>
      </w:r>
    </w:p>
    <w:p>
      <w:pPr>
        <w:spacing w:line="360" w:lineRule="auto" w:after="40"/>
      </w:pPr>
      <w:r>
        <w:t>不要把“候选人提供的信息”与“招聘团队用于独立核验的信息来源”混为一谈。简历可以是调查起点，但题干问的是识别潜在负面信息最有用的资源，重点在犯罪记录、公开媒体和既往雇佣记录的交叉核验</w:t>
      </w:r>
      <w:r>
        <w:rPr>
          <w:sz w:val="15"/>
          <w:vertAlign w:val="superscript"/>
        </w:rPr>
        <w:t>P324、P334</w:t>
      </w:r>
      <w:r>
        <w:t>。</w:t>
      </w:r>
    </w:p>
    <w:p>
      <w:pPr>
        <w:spacing w:line="360" w:lineRule="auto" w:after="120"/>
      </w:pPr>
      <w:r/>
    </w:p>
    <w:p>
      <w:pPr>
        <w:spacing w:line="360" w:lineRule="auto" w:after="40"/>
      </w:pPr>
      <w:r>
        <w:t>3. 一家银行已将一名候选人列入私人银行客户经理职位的候选名单.以下哪些资源能够提供可独立核验的候选人负面信息？（选择三项。）</w:t>
      </w:r>
    </w:p>
    <w:p>
      <w:pPr>
        <w:spacing w:line="360" w:lineRule="auto" w:after="20"/>
      </w:pPr>
      <w:r>
        <w:t>A.过往任职记录</w:t>
      </w:r>
    </w:p>
    <w:p>
      <w:pPr>
        <w:spacing w:line="360" w:lineRule="auto" w:after="20"/>
      </w:pPr>
      <w:r>
        <w:t>B.来自亲密同事的个人推荐信</w:t>
      </w:r>
    </w:p>
    <w:p>
      <w:pPr>
        <w:spacing w:line="360" w:lineRule="auto" w:after="20"/>
      </w:pPr>
      <w:r>
        <w:t>C.个人简历</w:t>
      </w:r>
    </w:p>
    <w:p>
      <w:pPr>
        <w:spacing w:line="360" w:lineRule="auto" w:after="20"/>
      </w:pPr>
      <w:r>
        <w:t>D.互联网和公共媒体搜索</w:t>
      </w:r>
    </w:p>
    <w:p>
      <w:pPr>
        <w:spacing w:line="360" w:lineRule="auto" w:after="20"/>
      </w:pPr>
      <w:r>
        <w:t>E.犯罪记录查询</w:t>
      </w:r>
    </w:p>
    <w:p>
      <w:pPr>
        <w:spacing w:line="360" w:lineRule="auto" w:after="40"/>
      </w:pPr>
      <w:r>
        <w:t>答案:A、D、E</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t>识别员工尽职调查中最有用的负面信息来源</w:t>
      </w:r>
    </w:p>
    <w:p>
      <w:pPr>
        <w:spacing w:line="360" w:lineRule="auto" w:after="40"/>
      </w:pPr>
      <w:r>
        <w:rPr>
          <w:b/>
          <w:shd w:fill="D6E4F0" w:val="clear"/>
        </w:rPr>
        <w:t>核心解析：</w:t>
      </w:r>
    </w:p>
    <w:p>
      <w:pPr>
        <w:spacing w:line="360" w:lineRule="auto" w:after="40"/>
      </w:pPr>
      <w:r>
        <w:t>教材在“了解你的员工和供应商”部分列出</w:t>
      </w:r>
      <w:r>
        <w:rPr>
          <w:b/>
        </w:rPr>
        <w:t>联系前雇主、制裁和政治敏感人物筛查、负面媒体检查</w:t>
      </w:r>
      <w:r>
        <w:t>等背景调查来源</w:t>
      </w:r>
      <w:r>
        <w:rPr>
          <w:sz w:val="15"/>
          <w:vertAlign w:val="superscript"/>
        </w:rPr>
        <w:t>P324</w:t>
      </w:r>
      <w:r>
        <w:t>。因此 A、D 直接对应员工尽调要求。</w:t>
      </w:r>
      <w:r>
        <w:rPr>
          <w:b/>
        </w:rPr>
        <w:t>犯罪记录查询</w:t>
      </w:r>
      <w:r>
        <w:t>能够识别候选人是否有欺诈、洗钱或其他犯罪经历，也是可独立核验的客观信息来源</w:t>
      </w:r>
      <w:r>
        <w:rPr>
          <w:sz w:val="15"/>
          <w:vertAlign w:val="superscript"/>
        </w:rPr>
        <w:t>P482</w:t>
      </w:r>
      <w:r>
        <w:t>。相比 B 的主观推荐和 C 的自述简历，A、D、E 更能发现负面信息。</w:t>
      </w:r>
    </w:p>
    <w:p>
      <w:pPr>
        <w:spacing w:line="360" w:lineRule="auto" w:after="40"/>
      </w:pPr>
      <w:r>
        <w:rPr>
          <w:b/>
          <w:shd w:fill="D6E4F0" w:val="clear"/>
        </w:rPr>
        <w:t>教材原句：</w:t>
      </w:r>
    </w:p>
    <w:p>
      <w:pPr>
        <w:spacing w:line="360" w:lineRule="auto" w:after="40"/>
      </w:pPr>
      <w:r>
        <w:t>"This might include contacting former employers, conducting credit checks, sanctions and PEP screening, and adverse media checks."</w:t>
      </w:r>
      <w:r>
        <w:rPr>
          <w:sz w:val="15"/>
          <w:vertAlign w:val="superscript"/>
        </w:rPr>
        <w:t>P324</w:t>
      </w:r>
    </w:p>
    <w:p>
      <w:pPr>
        <w:spacing w:line="360" w:lineRule="auto" w:after="40"/>
      </w:pPr>
      <w:r>
        <w:rPr>
          <w:b/>
          <w:shd w:fill="D6E4F0" w:val="clear"/>
        </w:rPr>
        <w:t>错误项分析：</w:t>
      </w:r>
    </w:p>
    <w:p>
      <w:pPr>
        <w:spacing w:line="360" w:lineRule="auto" w:after="40"/>
      </w:pPr>
      <w:r>
        <w:rPr>
          <w:b/>
          <w:shd w:fill="D6E4F0" w:val="clear"/>
        </w:rPr>
        <w:t>B项错误：</w:t>
      </w:r>
    </w:p>
    <w:p>
      <w:pPr>
        <w:spacing w:line="360" w:lineRule="auto" w:after="40"/>
      </w:pPr>
      <w:r>
        <w:t>亲密同事推荐信可能提供补充信息，但主观性强、存在利益关系，不能替代前雇主记录、公开媒体和犯罪记录等可独立核验的来源</w:t>
      </w:r>
      <w:r>
        <w:rPr>
          <w:sz w:val="15"/>
          <w:vertAlign w:val="superscript"/>
        </w:rPr>
        <w:t>P324、P482</w:t>
      </w:r>
      <w:r>
        <w:t>。</w:t>
      </w:r>
    </w:p>
    <w:p>
      <w:pPr>
        <w:spacing w:line="360" w:lineRule="auto" w:after="40"/>
      </w:pPr>
      <w:r>
        <w:rPr>
          <w:b/>
          <w:shd w:fill="D6E4F0" w:val="clear"/>
        </w:rPr>
        <w:t>C项错误：</w:t>
      </w:r>
    </w:p>
    <w:p>
      <w:pPr>
        <w:spacing w:line="360" w:lineRule="auto" w:after="40"/>
      </w:pPr>
      <w:r>
        <w:t>“个人简历”由候选人自行提供，旨在展示个人经历，本身并非用于发掘潜在负面信息的独立来源。在背景调查中，简历是被核验的对象；相比A、D、E，其作为负面信息来源的可靠性明显不足。</w:t>
      </w:r>
    </w:p>
    <w:sectPr w:rsidR="00797F96" w:rsidSect="007705BD">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130425" w14:textId="77777777" w:rsidR="00D502DB" w:rsidRDefault="00D502DB" w:rsidP="004B1ED1">
      <w:r>
        <w:separator/>
      </w:r>
    </w:p>
  </w:endnote>
  <w:endnote w:type="continuationSeparator" w:id="0">
    <w:p w14:paraId="6CC9F455" w14:textId="77777777" w:rsidR="00D502DB" w:rsidRDefault="00D502DB" w:rsidP="004B1E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92F4B" w14:textId="77777777" w:rsidR="00D502DB" w:rsidRDefault="00D502DB" w:rsidP="004B1ED1">
      <w:r>
        <w:separator/>
      </w:r>
    </w:p>
  </w:footnote>
  <w:footnote w:type="continuationSeparator" w:id="0">
    <w:p w14:paraId="68C42F1C" w14:textId="77777777" w:rsidR="00D502DB" w:rsidRDefault="00D502DB" w:rsidP="004B1ED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420"/>
  <w:drawingGridVerticalSpacing w:val="20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4CB"/>
    <w:rsid w:val="00010147"/>
    <w:rsid w:val="00033C1A"/>
    <w:rsid w:val="00040102"/>
    <w:rsid w:val="000D33A7"/>
    <w:rsid w:val="000F230C"/>
    <w:rsid w:val="000F78D0"/>
    <w:rsid w:val="00131228"/>
    <w:rsid w:val="001462D8"/>
    <w:rsid w:val="0015668A"/>
    <w:rsid w:val="00177DC7"/>
    <w:rsid w:val="001A7D92"/>
    <w:rsid w:val="002077A3"/>
    <w:rsid w:val="00220F69"/>
    <w:rsid w:val="002B050E"/>
    <w:rsid w:val="0033201A"/>
    <w:rsid w:val="0033318A"/>
    <w:rsid w:val="003607DA"/>
    <w:rsid w:val="00367F68"/>
    <w:rsid w:val="00435F1E"/>
    <w:rsid w:val="00474E2F"/>
    <w:rsid w:val="00483F5C"/>
    <w:rsid w:val="004962E1"/>
    <w:rsid w:val="004A749E"/>
    <w:rsid w:val="004B1ED1"/>
    <w:rsid w:val="00526572"/>
    <w:rsid w:val="00573E0A"/>
    <w:rsid w:val="005A2A6F"/>
    <w:rsid w:val="005A7BEF"/>
    <w:rsid w:val="005D7D77"/>
    <w:rsid w:val="00607874"/>
    <w:rsid w:val="00646B58"/>
    <w:rsid w:val="0072289C"/>
    <w:rsid w:val="00745570"/>
    <w:rsid w:val="00753BC4"/>
    <w:rsid w:val="007705BD"/>
    <w:rsid w:val="00797F96"/>
    <w:rsid w:val="007D7360"/>
    <w:rsid w:val="007E7BE2"/>
    <w:rsid w:val="007F09BD"/>
    <w:rsid w:val="00837539"/>
    <w:rsid w:val="008644CB"/>
    <w:rsid w:val="008C76EC"/>
    <w:rsid w:val="008D6C8E"/>
    <w:rsid w:val="009E4018"/>
    <w:rsid w:val="00A13FA3"/>
    <w:rsid w:val="00A167EC"/>
    <w:rsid w:val="00A215D8"/>
    <w:rsid w:val="00B12FCC"/>
    <w:rsid w:val="00BF7B5A"/>
    <w:rsid w:val="00C67B09"/>
    <w:rsid w:val="00CA03E7"/>
    <w:rsid w:val="00CA0B43"/>
    <w:rsid w:val="00CC049E"/>
    <w:rsid w:val="00D502DB"/>
    <w:rsid w:val="00D935DD"/>
    <w:rsid w:val="00DA5DA4"/>
    <w:rsid w:val="00E13904"/>
    <w:rsid w:val="00E176BA"/>
    <w:rsid w:val="00E26F44"/>
    <w:rsid w:val="00E429AB"/>
    <w:rsid w:val="00E63479"/>
    <w:rsid w:val="00EC4A51"/>
    <w:rsid w:val="00EE0B23"/>
    <w:rsid w:val="00F52D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ED38201"/>
  <w14:defaultImageDpi w14:val="33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Revision"/>
    <w:hidden/>
    <w:uiPriority w:val="99"/>
    <w:semiHidden/>
    <w:rsid w:val="008644CB"/>
  </w:style>
  <w:style w:type="character" w:styleId="a4">
    <w:name w:val="annotation reference"/>
    <w:basedOn w:val="a0"/>
    <w:uiPriority w:val="99"/>
    <w:semiHidden/>
    <w:unhideWhenUsed/>
    <w:rsid w:val="00CA0B43"/>
    <w:rPr>
      <w:sz w:val="21"/>
      <w:szCs w:val="21"/>
    </w:rPr>
  </w:style>
  <w:style w:type="paragraph" w:styleId="a5">
    <w:name w:val="annotation text"/>
    <w:basedOn w:val="a"/>
    <w:link w:val="a6"/>
    <w:uiPriority w:val="99"/>
    <w:semiHidden/>
    <w:unhideWhenUsed/>
    <w:rsid w:val="00CA0B43"/>
    <w:pPr>
      <w:jc w:val="left"/>
    </w:pPr>
  </w:style>
  <w:style w:type="character" w:customStyle="1" w:styleId="a6">
    <w:name w:val="批注文字 字符"/>
    <w:basedOn w:val="a0"/>
    <w:link w:val="a5"/>
    <w:uiPriority w:val="99"/>
    <w:semiHidden/>
    <w:rsid w:val="00CA0B43"/>
  </w:style>
  <w:style w:type="paragraph" w:styleId="a7">
    <w:name w:val="annotation subject"/>
    <w:basedOn w:val="a5"/>
    <w:next w:val="a5"/>
    <w:link w:val="a8"/>
    <w:uiPriority w:val="99"/>
    <w:semiHidden/>
    <w:unhideWhenUsed/>
    <w:rsid w:val="00CA0B43"/>
    <w:rPr>
      <w:b/>
      <w:bCs/>
    </w:rPr>
  </w:style>
  <w:style w:type="character" w:customStyle="1" w:styleId="a8">
    <w:name w:val="批注主题 字符"/>
    <w:basedOn w:val="a6"/>
    <w:link w:val="a7"/>
    <w:uiPriority w:val="99"/>
    <w:semiHidden/>
    <w:rsid w:val="00CA0B43"/>
    <w:rPr>
      <w:b/>
      <w:bCs/>
    </w:rPr>
  </w:style>
  <w:style w:type="paragraph" w:styleId="a9">
    <w:name w:val="Balloon Text"/>
    <w:basedOn w:val="a"/>
    <w:link w:val="aa"/>
    <w:uiPriority w:val="99"/>
    <w:semiHidden/>
    <w:unhideWhenUsed/>
    <w:rsid w:val="00CA0B43"/>
    <w:rPr>
      <w:rFonts w:ascii="宋体" w:eastAsia="宋体"/>
      <w:sz w:val="18"/>
      <w:szCs w:val="18"/>
    </w:rPr>
  </w:style>
  <w:style w:type="character" w:customStyle="1" w:styleId="aa">
    <w:name w:val="批注框文本 字符"/>
    <w:basedOn w:val="a0"/>
    <w:link w:val="a9"/>
    <w:uiPriority w:val="99"/>
    <w:semiHidden/>
    <w:rsid w:val="00CA0B43"/>
    <w:rPr>
      <w:rFonts w:ascii="宋体" w:eastAsia="宋体"/>
      <w:sz w:val="18"/>
      <w:szCs w:val="18"/>
    </w:rPr>
  </w:style>
  <w:style w:type="paragraph" w:styleId="ab">
    <w:name w:val="Document Map"/>
    <w:basedOn w:val="a"/>
    <w:link w:val="ac"/>
    <w:uiPriority w:val="99"/>
    <w:semiHidden/>
    <w:unhideWhenUsed/>
    <w:rsid w:val="00797F96"/>
    <w:rPr>
      <w:rFonts w:ascii="宋体" w:eastAsia="宋体"/>
    </w:rPr>
  </w:style>
  <w:style w:type="character" w:customStyle="1" w:styleId="ac">
    <w:name w:val="文档结构图 字符"/>
    <w:basedOn w:val="a0"/>
    <w:link w:val="ab"/>
    <w:uiPriority w:val="99"/>
    <w:semiHidden/>
    <w:rsid w:val="00797F96"/>
    <w:rPr>
      <w:rFonts w:ascii="宋体" w:eastAsia="宋体"/>
    </w:rPr>
  </w:style>
  <w:style w:type="table" w:styleId="ad">
    <w:name w:val="Table Grid"/>
    <w:basedOn w:val="a1"/>
    <w:uiPriority w:val="39"/>
    <w:rsid w:val="00797F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header"/>
    <w:basedOn w:val="a"/>
    <w:link w:val="af"/>
    <w:uiPriority w:val="99"/>
    <w:unhideWhenUsed/>
    <w:rsid w:val="004B1ED1"/>
    <w:pPr>
      <w:pBdr>
        <w:bottom w:val="single" w:sz="6" w:space="1" w:color="auto"/>
      </w:pBdr>
      <w:tabs>
        <w:tab w:val="center" w:pos="4153"/>
        <w:tab w:val="right" w:pos="8306"/>
      </w:tabs>
      <w:snapToGrid w:val="0"/>
      <w:jc w:val="center"/>
    </w:pPr>
    <w:rPr>
      <w:sz w:val="18"/>
      <w:szCs w:val="18"/>
    </w:rPr>
  </w:style>
  <w:style w:type="character" w:customStyle="1" w:styleId="af">
    <w:name w:val="页眉 字符"/>
    <w:basedOn w:val="a0"/>
    <w:link w:val="ae"/>
    <w:uiPriority w:val="99"/>
    <w:rsid w:val="004B1ED1"/>
    <w:rPr>
      <w:sz w:val="18"/>
      <w:szCs w:val="18"/>
    </w:rPr>
  </w:style>
  <w:style w:type="paragraph" w:styleId="af0">
    <w:name w:val="footer"/>
    <w:basedOn w:val="a"/>
    <w:link w:val="af1"/>
    <w:uiPriority w:val="99"/>
    <w:unhideWhenUsed/>
    <w:rsid w:val="004B1ED1"/>
    <w:pPr>
      <w:tabs>
        <w:tab w:val="center" w:pos="4153"/>
        <w:tab w:val="right" w:pos="8306"/>
      </w:tabs>
      <w:snapToGrid w:val="0"/>
      <w:jc w:val="left"/>
    </w:pPr>
    <w:rPr>
      <w:sz w:val="18"/>
      <w:szCs w:val="18"/>
    </w:rPr>
  </w:style>
  <w:style w:type="character" w:customStyle="1" w:styleId="af1">
    <w:name w:val="页脚 字符"/>
    <w:basedOn w:val="a0"/>
    <w:link w:val="af0"/>
    <w:uiPriority w:val="99"/>
    <w:rsid w:val="004B1ED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办公室">
      <a:majorFont>
        <a:latin typeface="DengXian Light" panose="020F0302020204030204"/>
        <a:ea typeface=""/>
        <a:cs typeface=""/>
        <a:font script="Jpan" typeface="ＭＳ ゴシック"/>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ＭＳ 明朝"/>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3</Pages>
  <Words>320</Words>
  <Characters>1827</Characters>
  <Application>Microsoft Office Word</Application>
  <DocSecurity>0</DocSecurity>
  <Lines>15</Lines>
  <Paragraphs>4</Paragraphs>
  <ScaleCrop>false</ScaleCrop>
  <Company/>
  <LinksUpToDate>false</LinksUpToDate>
  <CharactersWithSpaces>2143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love980</dc:creator>
  <cp:keywords/>
  <dc:description/>
  <cp:lastModifiedBy>8613849083012</cp:lastModifiedBy>
  <cp:revision>54</cp:revision>
  <dcterms:created xsi:type="dcterms:W3CDTF">2017-05-14T09:31:00Z</dcterms:created>
  <dcterms:modified xsi:type="dcterms:W3CDTF">2021-12-30T09:44:00Z</dcterms:modified>
</cp:coreProperties>
</file>