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360" w:lineRule="auto" w:after="240"/>
      </w:pPr>
      <w:r>
        <w:t>试卷名称:CAMS CH11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一个强大的交易监控系统应具备以下能力:</w:t>
      </w:r>
    </w:p>
    <w:p>
      <w:pPr>
        <w:spacing w:line="360" w:lineRule="auto" w:after="20"/>
      </w:pPr>
      <w:r>
        <w:t>A.监控交易并识别可能表明可疑活动的异常情况</w:t>
      </w:r>
    </w:p>
    <w:p>
      <w:pPr>
        <w:spacing w:line="360" w:lineRule="auto" w:after="20"/>
      </w:pPr>
      <w:r>
        <w:t>B.自动翻译文档</w:t>
      </w:r>
    </w:p>
    <w:p>
      <w:pPr>
        <w:spacing w:line="360" w:lineRule="auto" w:after="20"/>
      </w:pPr>
      <w:r>
        <w:t>C.整合社交媒体资料</w:t>
      </w:r>
    </w:p>
    <w:p>
      <w:pPr>
        <w:spacing w:line="360" w:lineRule="auto" w:after="20"/>
      </w:pPr>
      <w:r>
        <w:t>D.提交可疑活动报告(SAR)、货币交易报告(CTR)及其他监管报告</w:t>
      </w:r>
    </w:p>
    <w:p>
      <w:pPr>
        <w:spacing w:line="360" w:lineRule="auto" w:after="40"/>
      </w:pPr>
      <w:r>
        <w:t>答案:A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line="360" w:lineRule="auto" w:after="40"/>
      </w:pPr>
      <w:r>
        <w:rPr>
          <w:b/>
          <w:shd w:fill="D6E4F0" w:val="clear"/>
        </w:rPr>
        <w:t>考点：</w:t>
      </w:r>
    </w:p>
    <w:p>
      <w:pPr>
        <w:spacing w:line="360" w:lineRule="auto" w:after="40"/>
      </w:pPr>
      <w:r>
        <w:rPr>
          <w:b/>
        </w:rPr>
        <w:t>交易监控系统的核心功能定义</w:t>
      </w:r>
    </w:p>
    <w:p>
      <w:pPr>
        <w:spacing w:line="360" w:lineRule="auto" w:after="40"/>
      </w:pPr>
      <w:r>
        <w:rPr>
          <w:b/>
          <w:shd w:fill="D6E4F0" w:val="clear"/>
        </w:rPr>
        <w:t>核心解析：</w:t>
      </w:r>
    </w:p>
    <w:p>
      <w:pPr>
        <w:spacing w:line="360" w:lineRule="auto" w:after="40"/>
      </w:pPr>
      <w:r>
        <w:t>交易监控系统是帮助金融机构</w:t>
      </w:r>
      <w:r>
        <w:rPr>
          <w:b/>
        </w:rPr>
        <w:t>检测可疑交易模式的技术框架</w:t>
      </w:r>
      <w:r>
        <w:rPr>
          <w:sz w:val="15"/>
          <w:vertAlign w:val="superscript"/>
        </w:rPr>
        <w:t>P325</w:t>
      </w:r>
      <w:r>
        <w:t>。题干问一个强大的交易监控系统应具备什么能力，核心落脚在“系统”本身的功能。选项A“监控交易并识别可能表明可疑活动的异常情况”直接对应了这一技术框架的核心目的：</w:t>
      </w:r>
      <w:r>
        <w:rPr>
          <w:b/>
        </w:rPr>
        <w:t>接收交易数据、分析模式、标记异常</w:t>
      </w:r>
      <w:r>
        <w:t>。教材进一步指出，企业银行业务需要强大的交易监控系统以有效分析模式并检测异常</w:t>
      </w:r>
      <w:r>
        <w:rPr>
          <w:sz w:val="15"/>
          <w:vertAlign w:val="superscript"/>
        </w:rPr>
        <w:t>P51</w:t>
      </w:r>
      <w:r>
        <w:t>，以及调优的目的正是确保交易监控系统有效检测可疑活动</w:t>
      </w:r>
      <w:r>
        <w:rPr>
          <w:sz w:val="15"/>
          <w:vertAlign w:val="superscript"/>
        </w:rPr>
        <w:t>P331</w:t>
      </w:r>
      <w:r>
        <w:t>。这些证据共同指向一个结论：交易监控系统最底层的固有功能就是监控与识别异常，这正是选项A所描述的内容。</w:t>
      </w:r>
    </w:p>
    <w:p>
      <w:pPr>
        <w:spacing w:line="360" w:lineRule="auto" w:after="40"/>
      </w:pPr>
      <w:r>
        <w:rPr>
          <w:b/>
          <w:shd w:fill="D6E4F0" w:val="clear"/>
        </w:rPr>
        <w:t>教材原句：</w:t>
      </w:r>
    </w:p>
    <w:p>
      <w:pPr>
        <w:spacing w:line="360" w:lineRule="auto" w:after="40"/>
      </w:pPr>
      <w:r>
        <w:t>"Transaction monitoring (TM) systems are the technological frameworks that help financial institutions detect suspicious transaction patterns."</w:t>
      </w:r>
    </w:p>
    <w:p>
      <w:pPr>
        <w:spacing w:line="360" w:lineRule="auto" w:after="40"/>
      </w:pPr>
      <w:r>
        <w:rPr>
          <w:b/>
          <w:shd w:fill="D6E4F0" w:val="clear"/>
        </w:rPr>
        <w:t>错误项分析：</w:t>
      </w:r>
    </w:p>
    <w:p>
      <w:pPr>
        <w:spacing w:line="360" w:lineRule="auto" w:after="40"/>
      </w:pPr>
      <w:r>
        <w:rPr>
          <w:b/>
          <w:shd w:fill="D6E4F0" w:val="clear"/>
        </w:rPr>
        <w:t>B项错误：</w:t>
      </w:r>
    </w:p>
    <w:p>
      <w:pPr>
        <w:spacing w:line="360" w:lineRule="auto" w:after="40"/>
      </w:pPr>
      <w:r>
        <w:t>自动翻译文档解决的是语言转换问题；交易监控系统则分析金额、频率、对手方等交易数据，以识别异常模式。两者面向的任务不同，B不属于交易监控系统的核心能力。</w:t>
      </w:r>
    </w:p>
    <w:p>
      <w:pPr>
        <w:spacing w:line="360" w:lineRule="auto" w:after="40"/>
      </w:pPr>
      <w:r>
        <w:rPr>
          <w:b/>
          <w:shd w:fill="D6E4F0" w:val="clear"/>
        </w:rPr>
        <w:t>C项错误：</w:t>
      </w:r>
    </w:p>
    <w:p>
      <w:pPr>
        <w:spacing w:line="360" w:lineRule="auto" w:after="40"/>
      </w:pPr>
      <w:r>
        <w:t>社交媒体资料在教材中被定位为调查阶段可参考的外部信息源，可为客户提供额外背景信息</w:t>
      </w:r>
      <w:r>
        <w:rPr>
          <w:sz w:val="15"/>
          <w:vertAlign w:val="superscript"/>
        </w:rPr>
        <w:t>P338</w:t>
      </w:r>
      <w:r>
        <w:t>，属于交易监控触发警报后、分析师手动审查时可能调用的辅助数据。它并非交易监控系统自身的固有核心能力，而是一个补充性的外部数据维度，与题干对系统基础功能的提问匹配度不如A直接。</w:t>
      </w:r>
    </w:p>
    <w:p>
      <w:pPr>
        <w:spacing w:line="360" w:lineRule="auto" w:after="40"/>
      </w:pPr>
      <w:r>
        <w:rPr>
          <w:b/>
          <w:shd w:fill="D6E4F0" w:val="clear"/>
        </w:rPr>
        <w:t>D项错误：</w:t>
      </w:r>
    </w:p>
    <w:p>
      <w:pPr>
        <w:spacing w:line="360" w:lineRule="auto" w:after="40"/>
      </w:pPr>
      <w:r>
        <w:t>提交SAR和CTR在教材中被明确定义为“监管报告与联络职能”的职责，该职能负责提交所需监管报告并与监管机构沟通</w:t>
      </w:r>
      <w:r>
        <w:rPr>
          <w:sz w:val="15"/>
          <w:vertAlign w:val="superscript"/>
        </w:rPr>
        <w:t>P251</w:t>
      </w:r>
      <w:r>
        <w:t>。调查职能负责准备SAR</w:t>
      </w:r>
      <w:r>
        <w:rPr>
          <w:sz w:val="15"/>
          <w:vertAlign w:val="superscript"/>
        </w:rPr>
        <w:t>P251</w:t>
      </w:r>
      <w:r>
        <w:t>，但报告的实际提交由独立的报告职能执行。尽管交易监控系统产生的警报可能触发后续的SAR流程，但提交报告本身是一个独立于系统监控的操作步骤，不属于交易监控系统这一技术框架的内在能力。题干问系统能力，相较之下，A的监控识别功能比D的报告提交功能更贴近系统的技术定义。</w:t>
      </w:r>
    </w:p>
    <w:p>
      <w:pPr>
        <w:spacing w:line="360" w:lineRule="auto" w:after="40"/>
      </w:pPr>
      <w:r>
        <w:rPr>
          <w:b/>
          <w:shd w:fill="D6E4F0" w:val="clear"/>
        </w:rPr>
        <w:t>易错提醒：</w:t>
      </w:r>
    </w:p>
    <w:p>
      <w:pPr>
        <w:spacing w:line="360" w:lineRule="auto" w:after="40"/>
      </w:pPr>
      <w:r>
        <w:t>注意区分“交易监控系统”与“调查/报告职能”：监控系统负责产生警报（识别异常交易模式），而SAR的撰写属于调查职能、SAR的提交属于监管报告职能。教材在第二道防线金融犯罪职能结构中</w:t>
      </w:r>
      <w:r>
        <w:rPr>
          <w:sz w:val="15"/>
          <w:vertAlign w:val="superscript"/>
        </w:rPr>
        <w:t>P251</w:t>
      </w:r>
      <w:r>
        <w:t>将交易监控、调查、监管报告并列描述为不同职能模块，选项D虽然与反洗钱流程紧密相关，但它对应的是独立的报告职能而非监控系统本身。</w:t>
      </w:r>
    </w:p>
    <w:sectPr w:rsidR="00797F96" w:rsidSect="00770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0425" w14:textId="77777777" w:rsidR="00D502DB" w:rsidRDefault="00D502DB" w:rsidP="004B1ED1">
      <w:r>
        <w:separator/>
      </w:r>
    </w:p>
  </w:endnote>
  <w:endnote w:type="continuationSeparator" w:id="0">
    <w:p w14:paraId="6CC9F455" w14:textId="77777777" w:rsidR="00D502DB" w:rsidRDefault="00D502DB" w:rsidP="004B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92F4B" w14:textId="77777777" w:rsidR="00D502DB" w:rsidRDefault="00D502DB" w:rsidP="004B1ED1">
      <w:r>
        <w:separator/>
      </w:r>
    </w:p>
  </w:footnote>
  <w:footnote w:type="continuationSeparator" w:id="0">
    <w:p w14:paraId="68C42F1C" w14:textId="77777777" w:rsidR="00D502DB" w:rsidRDefault="00D502DB" w:rsidP="004B1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CB"/>
    <w:rsid w:val="00010147"/>
    <w:rsid w:val="00033C1A"/>
    <w:rsid w:val="00040102"/>
    <w:rsid w:val="000D33A7"/>
    <w:rsid w:val="000F230C"/>
    <w:rsid w:val="000F78D0"/>
    <w:rsid w:val="00131228"/>
    <w:rsid w:val="001462D8"/>
    <w:rsid w:val="0015668A"/>
    <w:rsid w:val="00177DC7"/>
    <w:rsid w:val="001A7D92"/>
    <w:rsid w:val="002077A3"/>
    <w:rsid w:val="00220F69"/>
    <w:rsid w:val="002B050E"/>
    <w:rsid w:val="0033201A"/>
    <w:rsid w:val="0033318A"/>
    <w:rsid w:val="003607DA"/>
    <w:rsid w:val="00367F68"/>
    <w:rsid w:val="00435F1E"/>
    <w:rsid w:val="00474E2F"/>
    <w:rsid w:val="00483F5C"/>
    <w:rsid w:val="004962E1"/>
    <w:rsid w:val="004A749E"/>
    <w:rsid w:val="004B1ED1"/>
    <w:rsid w:val="00526572"/>
    <w:rsid w:val="00573E0A"/>
    <w:rsid w:val="005A2A6F"/>
    <w:rsid w:val="005A7BEF"/>
    <w:rsid w:val="005D7D77"/>
    <w:rsid w:val="00607874"/>
    <w:rsid w:val="00646B58"/>
    <w:rsid w:val="0072289C"/>
    <w:rsid w:val="00745570"/>
    <w:rsid w:val="00753BC4"/>
    <w:rsid w:val="007705BD"/>
    <w:rsid w:val="00797F96"/>
    <w:rsid w:val="007D7360"/>
    <w:rsid w:val="007E7BE2"/>
    <w:rsid w:val="007F09BD"/>
    <w:rsid w:val="00837539"/>
    <w:rsid w:val="008644CB"/>
    <w:rsid w:val="008C76EC"/>
    <w:rsid w:val="008D6C8E"/>
    <w:rsid w:val="009E4018"/>
    <w:rsid w:val="00A13FA3"/>
    <w:rsid w:val="00A167EC"/>
    <w:rsid w:val="00A215D8"/>
    <w:rsid w:val="00B12FCC"/>
    <w:rsid w:val="00BF7B5A"/>
    <w:rsid w:val="00C67B09"/>
    <w:rsid w:val="00CA03E7"/>
    <w:rsid w:val="00CA0B43"/>
    <w:rsid w:val="00CC049E"/>
    <w:rsid w:val="00D502DB"/>
    <w:rsid w:val="00D935DD"/>
    <w:rsid w:val="00DA5DA4"/>
    <w:rsid w:val="00E13904"/>
    <w:rsid w:val="00E176BA"/>
    <w:rsid w:val="00E26F44"/>
    <w:rsid w:val="00E429AB"/>
    <w:rsid w:val="00E63479"/>
    <w:rsid w:val="00EC4A51"/>
    <w:rsid w:val="00EE0B23"/>
    <w:rsid w:val="00F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D38201"/>
  <w14:defaultImageDpi w14:val="3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8644CB"/>
  </w:style>
  <w:style w:type="character" w:styleId="a4">
    <w:name w:val="annotation reference"/>
    <w:basedOn w:val="a0"/>
    <w:uiPriority w:val="99"/>
    <w:semiHidden/>
    <w:unhideWhenUsed/>
    <w:rsid w:val="00CA0B43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CA0B43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CA0B43"/>
  </w:style>
  <w:style w:type="paragraph" w:styleId="a7">
    <w:name w:val="annotation subject"/>
    <w:basedOn w:val="a5"/>
    <w:next w:val="a5"/>
    <w:link w:val="a8"/>
    <w:uiPriority w:val="99"/>
    <w:semiHidden/>
    <w:unhideWhenUsed/>
    <w:rsid w:val="00CA0B43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CA0B4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CA0B43"/>
    <w:rPr>
      <w:rFonts w:ascii="宋体" w:eastAsia="宋体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A0B43"/>
    <w:rPr>
      <w:rFonts w:ascii="宋体" w:eastAsia="宋体"/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797F96"/>
    <w:rPr>
      <w:rFonts w:ascii="宋体" w:eastAsia="宋体"/>
    </w:rPr>
  </w:style>
  <w:style w:type="character" w:customStyle="1" w:styleId="ac">
    <w:name w:val="文档结构图 字符"/>
    <w:basedOn w:val="a0"/>
    <w:link w:val="ab"/>
    <w:uiPriority w:val="99"/>
    <w:semiHidden/>
    <w:rsid w:val="00797F96"/>
    <w:rPr>
      <w:rFonts w:ascii="宋体" w:eastAsia="宋体"/>
    </w:rPr>
  </w:style>
  <w:style w:type="table" w:styleId="ad">
    <w:name w:val="Table Grid"/>
    <w:basedOn w:val="a1"/>
    <w:uiPriority w:val="39"/>
    <w:rsid w:val="00797F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4B1E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1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1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1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办公室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love980</dc:creator>
  <cp:keywords/>
  <dc:description/>
  <cp:lastModifiedBy>8613849083012</cp:lastModifiedBy>
  <cp:revision>54</cp:revision>
  <dcterms:created xsi:type="dcterms:W3CDTF">2017-05-14T09:31:00Z</dcterms:created>
  <dcterms:modified xsi:type="dcterms:W3CDTF">2021-12-30T09:44:00Z</dcterms:modified>
</cp:coreProperties>
</file>