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pPr>
        <w:spacing w:line="360" w:lineRule="auto" w:after="240"/>
      </w:pPr>
      <w:r>
        <w:t>试卷名称:CAMS CH12</w:t>
      </w:r>
    </w:p>
    <w:p>
      <w:pPr>
        <w:spacing w:line="360" w:lineRule="auto" w:after="160"/>
      </w:pPr>
      <w:r>
        <w:t>一、单项选择题</w:t>
      </w:r>
    </w:p>
    <w:p>
      <w:pPr>
        <w:spacing w:line="360" w:lineRule="auto" w:after="40"/>
      </w:pPr>
      <w:r>
        <w:t>1. 台湾一家赌场的合规官发现，该赌场在连续几天收到一名顾客多笔略低于大额交易报告（LTR）限额的现金存款，且该顾客使用了三个不同的投注账户。下一步应采取什么恰当措施？</w:t>
      </w:r>
    </w:p>
    <w:p>
      <w:pPr>
        <w:spacing w:line="360" w:lineRule="auto" w:after="20"/>
      </w:pPr>
      <w:r>
        <w:t>A.在客户账户中记录,该客户的赌博活动经常在报告限额以下进行.</w:t>
      </w:r>
    </w:p>
    <w:p>
      <w:pPr>
        <w:spacing w:line="360" w:lineRule="auto" w:after="20"/>
      </w:pPr>
      <w:r>
        <w:t>B.按照内部报告程序将该活动作为可疑行为上报,并向相关主管部门报告</w:t>
      </w:r>
    </w:p>
    <w:p>
      <w:pPr>
        <w:spacing w:line="360" w:lineRule="auto" w:after="20"/>
      </w:pPr>
      <w:r>
        <w:t>C.告知客户其活动存在可疑之处，并要求其作出解释</w:t>
      </w:r>
    </w:p>
    <w:p>
      <w:pPr>
        <w:spacing w:line="360" w:lineRule="auto" w:after="20"/>
      </w:pPr>
      <w:r>
        <w:t>D.联系执法部门对客户的财务活动展开调查</w:t>
      </w:r>
    </w:p>
    <w:p>
      <w:pPr>
        <w:spacing w:line="360" w:lineRule="auto" w:after="40"/>
      </w:pPr>
      <w:r>
        <w:t>答案:B</w:t>
      </w:r>
    </w:p>
    <w:p>
      <w:pPr>
        <w:spacing w:line="360" w:lineRule="auto" w:after="40"/>
      </w:pPr>
      <w:r>
        <w:rPr>
          <w:b/>
          <w:shd w:fill="D6E4F0" w:val="clear"/>
        </w:rPr>
        <w:t>解析:</w:t>
      </w:r>
    </w:p>
    <w:p>
      <w:pPr>
        <w:spacing w:line="360" w:lineRule="auto" w:after="40"/>
      </w:pPr>
      <w:r>
        <w:rPr>
          <w:b/>
          <w:shd w:fill="D6E4F0" w:val="clear"/>
        </w:rPr>
        <w:t>考点：</w:t>
      </w:r>
    </w:p>
    <w:p>
      <w:pPr>
        <w:spacing w:line="360" w:lineRule="auto" w:after="40"/>
      </w:pPr>
      <w:r>
        <w:rPr>
          <w:b/>
        </w:rPr>
        <w:t>博彩业中识别结构化交易后的内部可疑报告流程</w:t>
      </w:r>
    </w:p>
    <w:p>
      <w:pPr>
        <w:spacing w:line="360" w:lineRule="auto" w:after="40"/>
      </w:pPr>
      <w:r>
        <w:rPr>
          <w:b/>
          <w:shd w:fill="D6E4F0" w:val="clear"/>
        </w:rPr>
        <w:t>核心解析：</w:t>
      </w:r>
    </w:p>
    <w:p>
      <w:pPr>
        <w:spacing w:line="360" w:lineRule="auto" w:after="40"/>
      </w:pPr>
      <w:r>
        <w:t>当合规官发现连续几天分三次存入略低于报告限额的现金，且使用了三个不同投注账户时，这种模式吻合教材对结构化交易的描述，即</w:t>
      </w:r>
      <w:r>
        <w:rPr>
          <w:b/>
        </w:rPr>
        <w:t>利用多笔交易规避报告门槛</w:t>
      </w:r>
      <w:r>
        <w:rPr>
          <w:sz w:val="15"/>
          <w:vertAlign w:val="superscript"/>
        </w:rPr>
        <w:t>P121</w:t>
      </w:r>
      <w:r>
        <w:t>。教材规定，机构应制定政策和程序，使员工能够向指定合规官报告可疑情况</w:t>
      </w:r>
      <w:r>
        <w:rPr>
          <w:sz w:val="15"/>
          <w:vertAlign w:val="superscript"/>
        </w:rPr>
        <w:t>P351</w:t>
      </w:r>
      <w:r>
        <w:t>。合规官在评估信息后，若事实表明需对外报告，通常应向管辖区的相关主管部门提交</w:t>
      </w:r>
      <w:r>
        <w:rPr>
          <w:b/>
        </w:rPr>
        <w:t>可疑活动报告</w:t>
      </w:r>
      <w:r>
        <w:rPr>
          <w:sz w:val="15"/>
          <w:vertAlign w:val="superscript"/>
        </w:rPr>
        <w:t>P351</w:t>
      </w:r>
      <w:r>
        <w:t>。题干中合规官已发现可疑模式，按照内部程序上报并对外报告，符合教材规定的流程。</w:t>
      </w:r>
    </w:p>
    <w:p>
      <w:pPr>
        <w:spacing w:line="360" w:lineRule="auto" w:after="40"/>
      </w:pPr>
      <w:r>
        <w:rPr>
          <w:b/>
          <w:shd w:fill="D6E4F0" w:val="clear"/>
        </w:rPr>
        <w:t>教材原句：</w:t>
      </w:r>
    </w:p>
    <w:p>
      <w:pPr>
        <w:spacing w:line="360" w:lineRule="auto" w:after="40"/>
      </w:pPr>
      <w:r>
        <w:t>"It is important that organizations implement policies and procedures to enable staff to report their suspicions to an assigned compliance officer."</w:t>
      </w:r>
    </w:p>
    <w:p>
      <w:pPr>
        <w:spacing w:line="360" w:lineRule="auto" w:after="40"/>
      </w:pPr>
      <w:r>
        <w:rPr>
          <w:b/>
          <w:shd w:fill="D6E4F0" w:val="clear"/>
        </w:rPr>
        <w:t>错误项分析：</w:t>
      </w:r>
    </w:p>
    <w:p>
      <w:pPr>
        <w:spacing w:line="360" w:lineRule="auto" w:after="40"/>
      </w:pPr>
      <w:r>
        <w:rPr>
          <w:b/>
          <w:shd w:fill="D6E4F0" w:val="clear"/>
        </w:rPr>
        <w:t>A项错误：</w:t>
      </w:r>
    </w:p>
    <w:p>
      <w:pPr>
        <w:spacing w:line="360" w:lineRule="auto" w:after="40"/>
      </w:pPr>
      <w:r>
        <w:t>选项A仅建议“在客户账户中记录其赌博活动经常在报告限额以下进行”，这种记录本身并未触发任何报告行动。教材框架下，“经常低于限额”的交易模式恰恰是结构化交易的警示信号</w:t>
      </w:r>
      <w:r>
        <w:rPr>
          <w:sz w:val="15"/>
          <w:vertAlign w:val="superscript"/>
        </w:rPr>
        <w:t>P121</w:t>
      </w:r>
      <w:r>
        <w:t>；题干设定的条件是发现可疑活动，而不是记录常规模式。</w:t>
      </w:r>
    </w:p>
    <w:p>
      <w:pPr>
        <w:spacing w:line="360" w:lineRule="auto" w:after="40"/>
      </w:pPr>
      <w:r>
        <w:rPr>
          <w:b/>
          <w:shd w:fill="D6E4F0" w:val="clear"/>
        </w:rPr>
        <w:t>C项错误：</w:t>
      </w:r>
    </w:p>
    <w:p>
      <w:pPr>
        <w:spacing w:line="360" w:lineRule="auto" w:after="40"/>
      </w:pPr>
      <w:r>
        <w:t>选项C建议直接告知客户其活动可疑并要求解释。教材在讨论因可疑活动终止客户关系时提到，应使用非常通用的信函通知客户，且必须避免通风报信；在某些情况下，通风报信是重罪</w:t>
      </w:r>
      <w:r>
        <w:rPr>
          <w:sz w:val="15"/>
          <w:vertAlign w:val="superscript"/>
        </w:rPr>
        <w:t>P336</w:t>
      </w:r>
      <w:r>
        <w:t>。直接告知客户其活动存在可疑之处，不如先按内部程序报告并由合规官决定后续行动稳妥。</w:t>
      </w:r>
    </w:p>
    <w:p>
      <w:pPr>
        <w:spacing w:line="360" w:lineRule="auto" w:after="40"/>
      </w:pPr>
      <w:r>
        <w:rPr>
          <w:b/>
          <w:shd w:fill="D6E4F0" w:val="clear"/>
        </w:rPr>
        <w:t>D项错误：</w:t>
      </w:r>
    </w:p>
    <w:p>
      <w:pPr>
        <w:spacing w:line="360" w:lineRule="auto" w:after="40"/>
      </w:pPr>
      <w:r>
        <w:t>选项D建议直接联系执法部门展开调查。教材流程是：先通过内部程序向合规官报告</w:t>
      </w:r>
      <w:r>
        <w:rPr>
          <w:sz w:val="15"/>
          <w:vertAlign w:val="superscript"/>
        </w:rPr>
        <w:t>P351</w:t>
      </w:r>
      <w:r>
        <w:t>，合规官评估后，若需对外报告则向主管部门提交可疑活动报告</w:t>
      </w:r>
      <w:r>
        <w:rPr>
          <w:sz w:val="15"/>
          <w:vertAlign w:val="superscript"/>
        </w:rPr>
        <w:t>P351</w:t>
      </w:r>
      <w:r>
        <w:t>。执法部门的介入通常发生在SAR提交之后，由金融情报机构或相关主管部门协调</w:t>
      </w:r>
      <w:r>
        <w:rPr>
          <w:sz w:val="15"/>
          <w:vertAlign w:val="superscript"/>
        </w:rPr>
        <w:t>P184</w:t>
      </w:r>
      <w:r>
        <w:t>。在发现可疑活动的当下阶段，直接联系执法部门不如B项所述的内部报告程序更吻合教材流程。</w:t>
      </w:r>
    </w:p>
    <w:p>
      <w:pPr>
        <w:spacing w:line="360" w:lineRule="auto" w:after="40"/>
      </w:pPr>
      <w:r>
        <w:rPr>
          <w:b/>
          <w:shd w:fill="D6E4F0" w:val="clear"/>
        </w:rPr>
        <w:t>易错提醒：</w:t>
      </w:r>
    </w:p>
    <w:p>
      <w:pPr>
        <w:spacing w:line="360" w:lineRule="auto" w:after="40"/>
      </w:pPr>
      <w:r>
        <w:t>容易混淆的两点：一是将“持续低于报告限额的交易”仅视为常规记录，而忽略这恰恰是结构化交易的可疑信号；二是认为发现可疑活动后应直接联系执法部门。教材所述流程是：员工发现可疑情况，按内部程序报告合规官，由合规官评估，并在必要时向主管部门提交SAR。执法部门参与通常属于后续环节，不是合规官当下的直接步骤。</w:t>
      </w:r>
    </w:p>
    <w:p>
      <w:pPr>
        <w:spacing w:line="360" w:lineRule="auto" w:after="120"/>
      </w:pPr>
      <w:r/>
    </w:p>
    <w:p>
      <w:pPr>
        <w:spacing w:line="360" w:lineRule="auto" w:after="40"/>
      </w:pPr>
      <w:r>
        <w:t>2. 在以下哪种情况下，金融机构可以披露可疑活动报告（SAR）？</w:t>
      </w:r>
    </w:p>
    <w:p>
      <w:pPr>
        <w:spacing w:line="360" w:lineRule="auto" w:after="20"/>
      </w:pPr>
      <w:r>
        <w:t>A.法院命令要求银行披露该 SAR，但须先获得法律团队的同意。</w:t>
      </w:r>
    </w:p>
    <w:p>
      <w:pPr>
        <w:spacing w:line="360" w:lineRule="auto" w:after="20"/>
      </w:pPr>
      <w:r>
        <w:t>B.客户询问有关向当地金融情报机构（FIU）报告的可能性。</w:t>
      </w:r>
    </w:p>
    <w:p>
      <w:pPr>
        <w:spacing w:line="360" w:lineRule="auto" w:after="20"/>
      </w:pPr>
      <w:r>
        <w:t>C.外部顾问询问 SAR 的详情。</w:t>
      </w:r>
    </w:p>
    <w:p>
      <w:pPr>
        <w:spacing w:line="360" w:lineRule="auto" w:after="20"/>
      </w:pPr>
      <w:r>
        <w:t>D.第三国警方直接查询有关该客户的信息。</w:t>
      </w:r>
    </w:p>
    <w:p>
      <w:pPr>
        <w:spacing w:line="360" w:lineRule="auto" w:after="40"/>
      </w:pPr>
      <w:r>
        <w:t>答案:A</w:t>
      </w:r>
    </w:p>
    <w:p>
      <w:pPr>
        <w:spacing w:line="360" w:lineRule="auto" w:after="40"/>
      </w:pPr>
      <w:r>
        <w:rPr>
          <w:b/>
          <w:shd w:fill="D6E4F0" w:val="clear"/>
        </w:rPr>
        <w:t>解析:</w:t>
      </w:r>
    </w:p>
    <w:p>
      <w:pPr>
        <w:spacing w:line="360" w:lineRule="auto" w:after="40"/>
      </w:pPr>
      <w:r>
        <w:rPr>
          <w:b/>
          <w:shd w:fill="D6E4F0" w:val="clear"/>
        </w:rPr>
        <w:t>考点：</w:t>
      </w:r>
    </w:p>
    <w:p>
      <w:pPr>
        <w:spacing w:line="360" w:lineRule="auto" w:after="40"/>
      </w:pPr>
      <w:r>
        <w:rPr>
          <w:b/>
        </w:rPr>
        <w:t>SAR的严格保密义务与正式法律请求的处理</w:t>
      </w:r>
    </w:p>
    <w:p>
      <w:pPr>
        <w:spacing w:line="360" w:lineRule="auto" w:after="40"/>
      </w:pPr>
      <w:r>
        <w:rPr>
          <w:b/>
          <w:shd w:fill="D6E4F0" w:val="clear"/>
        </w:rPr>
        <w:t>核心解析：</w:t>
      </w:r>
    </w:p>
    <w:p>
      <w:pPr>
        <w:spacing w:line="360" w:lineRule="auto" w:after="40"/>
      </w:pPr>
      <w:r>
        <w:t>法规禁止金融机构向除特定执法机构外的任何人披露SAR，也不得披露</w:t>
      </w:r>
      <w:r>
        <w:rPr>
          <w:b/>
        </w:rPr>
        <w:t>足以表明已提交SAR的信息</w:t>
      </w:r>
      <w:r>
        <w:rPr>
          <w:sz w:val="15"/>
          <w:vertAlign w:val="superscript"/>
        </w:rPr>
        <w:t>P353</w:t>
      </w:r>
      <w:r>
        <w:t>。因此，B项的客户询问和C项的外部顾问询问都不构成披露依据；D项仅说第三国警方查询客户信息，也没有说明经由适用的正式合作渠道请求披露SAR。</w:t>
      </w:r>
    </w:p>
    <w:p>
      <w:pPr>
        <w:spacing w:line="360" w:lineRule="auto" w:after="40"/>
      </w:pPr>
      <w:r>
        <w:t>教材另将法院命令和传票列为调取账户或交易记录的正式法律请求</w:t>
      </w:r>
      <w:r>
        <w:rPr>
          <w:sz w:val="15"/>
          <w:vertAlign w:val="superscript"/>
        </w:rPr>
        <w:t>P361</w:t>
      </w:r>
      <w:r>
        <w:t>，但这不等于法院命令必然突破</w:t>
      </w:r>
      <w:r>
        <w:rPr>
          <w:b/>
        </w:rPr>
        <w:t>SAR保密义务</w:t>
      </w:r>
      <w:r>
        <w:t>。在给定选项中，A项至少要求在作出任何披露前由法律团队核定适用法律和命令范围，因而相对更符合审慎处理要求。但能否披露仍取决于当地法律，不能仅凭“法院命令”得出肯定结论。</w:t>
      </w:r>
    </w:p>
    <w:p>
      <w:pPr>
        <w:spacing w:line="360" w:lineRule="auto" w:after="40"/>
      </w:pPr>
      <w:r>
        <w:rPr>
          <w:b/>
          <w:shd w:fill="D6E4F0" w:val="clear"/>
        </w:rPr>
        <w:t>教材原句：</w:t>
      </w:r>
    </w:p>
    <w:p>
      <w:pPr>
        <w:spacing w:line="360" w:lineRule="auto" w:after="40"/>
      </w:pPr>
      <w:r>
        <w:t>"Regulations prohibit financial institutions from disclosing a SAR, or any information that would indicate a SAR was filed, to anyone except certain law enforcement agencies."</w:t>
      </w:r>
    </w:p>
    <w:p>
      <w:pPr>
        <w:spacing w:line="360" w:lineRule="auto" w:after="40"/>
      </w:pPr>
      <w:r>
        <w:rPr>
          <w:b/>
          <w:shd w:fill="D6E4F0" w:val="clear"/>
        </w:rPr>
        <w:t>错误项分析：</w:t>
      </w:r>
    </w:p>
    <w:p>
      <w:pPr>
        <w:spacing w:line="360" w:lineRule="auto" w:after="40"/>
      </w:pPr>
      <w:r>
        <w:rPr>
          <w:b/>
          <w:shd w:fill="D6E4F0" w:val="clear"/>
        </w:rPr>
        <w:t>B项错误：</w:t>
      </w:r>
    </w:p>
    <w:p>
      <w:pPr>
        <w:spacing w:line="360" w:lineRule="auto" w:after="40"/>
      </w:pPr>
      <w:r>
        <w:t>客户询问是否向FIU报告时，任何足以表明SAR已提交的回应都可能构成通风报信</w:t>
      </w:r>
      <w:r>
        <w:rPr>
          <w:sz w:val="15"/>
          <w:vertAlign w:val="superscript"/>
        </w:rPr>
        <w:t>P353</w:t>
      </w:r>
      <w:r>
        <w:t>。</w:t>
      </w:r>
    </w:p>
    <w:p>
      <w:pPr>
        <w:spacing w:line="360" w:lineRule="auto" w:after="40"/>
      </w:pPr>
      <w:r>
        <w:rPr>
          <w:b/>
          <w:shd w:fill="D6E4F0" w:val="clear"/>
        </w:rPr>
        <w:t>C项错误：</w:t>
      </w:r>
    </w:p>
    <w:p>
      <w:pPr>
        <w:spacing w:line="360" w:lineRule="auto" w:after="40"/>
      </w:pPr>
      <w:r>
        <w:t>外部顾问不因其顾问身份而当然成为可接收SAR的特定执法机构</w:t>
      </w:r>
      <w:r>
        <w:rPr>
          <w:sz w:val="15"/>
          <w:vertAlign w:val="superscript"/>
        </w:rPr>
        <w:t>P353</w:t>
      </w:r>
      <w:r>
        <w:t>。</w:t>
      </w:r>
    </w:p>
    <w:p>
      <w:pPr>
        <w:spacing w:line="360" w:lineRule="auto" w:after="40"/>
      </w:pPr>
      <w:r>
        <w:rPr>
          <w:b/>
          <w:shd w:fill="D6E4F0" w:val="clear"/>
        </w:rPr>
        <w:t>D项错误：</w:t>
      </w:r>
    </w:p>
    <w:p>
      <w:pPr>
        <w:spacing w:line="360" w:lineRule="auto" w:after="40"/>
      </w:pPr>
      <w:r>
        <w:t>D项只描述第三国警方直接查询客户信息，没有说明该请求是否经由正式的跨境执法或司法协助渠道，也没有直接说明请求披露SAR。</w:t>
      </w:r>
    </w:p>
    <w:p>
      <w:pPr>
        <w:spacing w:line="360" w:lineRule="auto" w:after="40"/>
      </w:pPr>
      <w:r>
        <w:rPr>
          <w:b/>
          <w:shd w:fill="D6E4F0" w:val="clear"/>
        </w:rPr>
        <w:t>易错提醒：</w:t>
      </w:r>
    </w:p>
    <w:p>
      <w:pPr>
        <w:spacing w:line="360" w:lineRule="auto" w:after="40"/>
      </w:pPr>
      <w:r>
        <w:t>法院命令或传票可以正式要求金融机构提供账户或交易记录，但这与披露SAR本身不是同一问题。面对此类请求，应由法律团队核定适用法律、请求范围和SAR保密限制，不能把法院命令自动视为SAR披露例外。</w:t>
      </w:r>
    </w:p>
    <w:p>
      <w:pPr>
        <w:spacing w:line="360" w:lineRule="auto" w:after="120"/>
      </w:pPr>
      <w:r/>
    </w:p>
    <w:p>
      <w:pPr>
        <w:spacing w:line="360" w:lineRule="auto" w:after="40"/>
      </w:pPr>
      <w:r>
        <w:t>3. 哪种情形最能说明金融机构为何会关闭客户的账户？</w:t>
      </w:r>
    </w:p>
    <w:p>
      <w:pPr>
        <w:spacing w:line="360" w:lineRule="auto" w:after="20"/>
      </w:pPr>
      <w:r>
        <w:t>A.该客户是民事传票的对象</w:t>
      </w:r>
    </w:p>
    <w:p>
      <w:pPr>
        <w:spacing w:line="360" w:lineRule="auto" w:after="20"/>
      </w:pPr>
      <w:r>
        <w:t>B.该客户使用与特别指定国民有业务往来的航运公司</w:t>
      </w:r>
    </w:p>
    <w:p>
      <w:pPr>
        <w:spacing w:line="360" w:lineRule="auto" w:after="20"/>
      </w:pPr>
      <w:r>
        <w:t>C.该账户显示定期有固定金额的汇款用于支付学费</w:t>
      </w:r>
    </w:p>
    <w:p>
      <w:pPr>
        <w:spacing w:line="360" w:lineRule="auto" w:after="20"/>
      </w:pPr>
      <w:r>
        <w:t>D.该账户有引发多份可疑活动报告的交易</w:t>
      </w:r>
    </w:p>
    <w:p>
      <w:pPr>
        <w:spacing w:line="360" w:lineRule="auto" w:after="40"/>
      </w:pPr>
      <w:r>
        <w:t>答案:D</w:t>
      </w:r>
    </w:p>
    <w:p>
      <w:pPr>
        <w:spacing w:line="360" w:lineRule="auto" w:after="40"/>
      </w:pPr>
      <w:r>
        <w:rPr>
          <w:b/>
          <w:shd w:fill="D6E4F0" w:val="clear"/>
        </w:rPr>
        <w:t>解析:</w:t>
      </w:r>
    </w:p>
    <w:p>
      <w:pPr>
        <w:spacing w:line="360" w:lineRule="auto" w:after="40"/>
      </w:pPr>
      <w:r>
        <w:rPr>
          <w:b/>
          <w:shd w:fill="D6E4F0" w:val="clear"/>
        </w:rPr>
        <w:t>考点：</w:t>
      </w:r>
    </w:p>
    <w:p>
      <w:pPr>
        <w:spacing w:line="360" w:lineRule="auto" w:after="40"/>
      </w:pPr>
      <w:r>
        <w:rPr>
          <w:b/>
        </w:rPr>
        <w:t>提交SAR后金融机构对受影响账户的处置义务</w:t>
      </w:r>
    </w:p>
    <w:p>
      <w:pPr>
        <w:spacing w:line="360" w:lineRule="auto" w:after="40"/>
      </w:pPr>
      <w:r>
        <w:rPr>
          <w:b/>
          <w:shd w:fill="D6E4F0" w:val="clear"/>
        </w:rPr>
        <w:t>核心解析：</w:t>
      </w:r>
    </w:p>
    <w:p>
      <w:pPr>
        <w:spacing w:line="360" w:lineRule="auto" w:after="40"/>
      </w:pPr>
      <w:r>
        <w:t>教材指出，提交可疑活动报告（SAR）后，金融机构应</w:t>
      </w:r>
      <w:r>
        <w:rPr>
          <w:b/>
        </w:rPr>
        <w:t>决定是否保留或关闭受影响账户</w:t>
      </w:r>
      <w:r>
        <w:rPr>
          <w:sz w:val="15"/>
          <w:vertAlign w:val="superscript"/>
        </w:rPr>
        <w:t>P356</w:t>
      </w:r>
      <w:r>
        <w:t>。这并不意味着提交SAR就必须关闭账户，而是要结合可疑活动的持续性、违法风险和机构风险偏好作出决定</w:t>
      </w:r>
      <w:r>
        <w:rPr>
          <w:sz w:val="15"/>
          <w:vertAlign w:val="superscript"/>
        </w:rPr>
        <w:t>P303</w:t>
      </w:r>
      <w:r>
        <w:t>。在给定选项中，D项的多份SAR表明账户可能持续出现需要上报的可疑活动，因而比其他选项更能支持重新评估并终止客户关系。</w:t>
      </w:r>
    </w:p>
    <w:p>
      <w:pPr>
        <w:spacing w:line="360" w:lineRule="auto" w:after="40"/>
      </w:pPr>
      <w:r>
        <w:rPr>
          <w:b/>
          <w:shd w:fill="D6E4F0" w:val="clear"/>
        </w:rPr>
        <w:t>教材原句：</w:t>
      </w:r>
    </w:p>
    <w:p>
      <w:pPr>
        <w:spacing w:line="360" w:lineRule="auto" w:after="40"/>
      </w:pPr>
      <w:r>
        <w:t>"After filing a suspicious activity report (SAR), financial institutions must decide whether to maintain or close the impacted account."</w:t>
      </w:r>
    </w:p>
    <w:p>
      <w:pPr>
        <w:spacing w:line="360" w:lineRule="auto" w:after="40"/>
      </w:pPr>
      <w:r>
        <w:rPr>
          <w:b/>
          <w:shd w:fill="D6E4F0" w:val="clear"/>
        </w:rPr>
        <w:t>错误项分析：</w:t>
      </w:r>
    </w:p>
    <w:p>
      <w:pPr>
        <w:spacing w:line="360" w:lineRule="auto" w:after="40"/>
      </w:pPr>
      <w:r>
        <w:rPr>
          <w:b/>
          <w:shd w:fill="D6E4F0" w:val="clear"/>
        </w:rPr>
        <w:t>A项错误：</w:t>
      </w:r>
    </w:p>
    <w:p>
      <w:pPr>
        <w:spacing w:line="360" w:lineRule="auto" w:after="40"/>
      </w:pPr>
      <w:r>
        <w:t>民事传票本身并不构成关闭账户的直接理由。教材指出，传票等法律令状会触发客户审查，但不自动导致提交SAR，因为可能缺乏足够的支持信息</w:t>
      </w:r>
      <w:r>
        <w:rPr>
          <w:sz w:val="15"/>
          <w:vertAlign w:val="superscript"/>
        </w:rPr>
        <w:t>P357</w:t>
      </w:r>
      <w:r>
        <w:t>。同时，执法机构还可能要求金融机构保持账户开放并监控以协助调查</w:t>
      </w:r>
      <w:r>
        <w:rPr>
          <w:sz w:val="15"/>
          <w:vertAlign w:val="superscript"/>
        </w:rPr>
        <w:t>P362</w:t>
      </w:r>
      <w:r>
        <w:t>。相比D项已实际触发多份SAR的情形，A项中的传票与账户关闭决策之间的因果链条更长、匹配度更低。</w:t>
      </w:r>
    </w:p>
    <w:p>
      <w:pPr>
        <w:spacing w:line="360" w:lineRule="auto" w:after="40"/>
      </w:pPr>
      <w:r>
        <w:rPr>
          <w:b/>
          <w:shd w:fill="D6E4F0" w:val="clear"/>
        </w:rPr>
        <w:t>B项错误：</w:t>
      </w:r>
    </w:p>
    <w:p>
      <w:pPr>
        <w:spacing w:line="360" w:lineRule="auto" w:after="40"/>
      </w:pPr>
      <w:r>
        <w:t>使用与特别指定国民（SDN）有业务往来的航运公司可能构成制裁风险或红旗信号，但题干没有说明客户本身与SDN直接交易，也没有说明该关联构成实际制裁违规。相比之下，D项更直接表明账户存在持续的可疑活动。</w:t>
      </w:r>
    </w:p>
    <w:p>
      <w:pPr>
        <w:spacing w:line="360" w:lineRule="auto" w:after="40"/>
      </w:pPr>
      <w:r>
        <w:rPr>
          <w:b/>
          <w:shd w:fill="D6E4F0" w:val="clear"/>
        </w:rPr>
        <w:t>C项错误：</w:t>
      </w:r>
    </w:p>
    <w:p>
      <w:pPr>
        <w:spacing w:line="360" w:lineRule="auto" w:after="40"/>
      </w:pPr>
      <w:r>
        <w:t>定期固定金额的学费汇款，单独看属于正常的账户使用模式。教材提及，直接为外国国民个人开支（如教育费）提供资金的账户，可能混淆官方与个人财务，但这属于使领馆账户场景下的风险指标</w:t>
      </w:r>
      <w:r>
        <w:rPr>
          <w:sz w:val="15"/>
          <w:vertAlign w:val="superscript"/>
        </w:rPr>
        <w:t>P138</w:t>
      </w:r>
      <w:r>
        <w:t>，并非普通零售账户关闭的典型理由。题干未提及任何使领馆或公共职务背景，该选项与关闭账户的关联非常薄弱，远不如多份SAR所代表的可疑活动直接。</w:t>
      </w:r>
    </w:p>
    <w:p>
      <w:pPr>
        <w:spacing w:line="360" w:lineRule="auto" w:after="40"/>
      </w:pPr>
      <w:r>
        <w:rPr>
          <w:b/>
          <w:shd w:fill="D6E4F0" w:val="clear"/>
        </w:rPr>
        <w:t>易错提醒：</w:t>
      </w:r>
    </w:p>
    <w:p>
      <w:pPr>
        <w:spacing w:line="360" w:lineRule="auto" w:after="40"/>
      </w:pPr>
      <w:r>
        <w:t>传票触发审查不等于触发SAR，更不等于需要关闭账户。教材明确指出传票不自动导致SAR</w:t>
      </w:r>
      <w:r>
        <w:rPr>
          <w:sz w:val="15"/>
          <w:vertAlign w:val="superscript"/>
        </w:rPr>
        <w:t>P357</w:t>
      </w:r>
      <w:r>
        <w:t>，且执法机构可能要求保留账户以协助调查</w:t>
      </w:r>
      <w:r>
        <w:rPr>
          <w:sz w:val="15"/>
          <w:vertAlign w:val="superscript"/>
        </w:rPr>
        <w:t>P362</w:t>
      </w:r>
      <w:r>
        <w:t>。不要将“收到传票→触发审查”与“提交SAR→关闭账户”这两条路径混为一谈。</w:t>
      </w:r>
    </w:p>
    <w:p>
      <w:pPr>
        <w:spacing w:line="360" w:lineRule="auto" w:after="120"/>
      </w:pPr>
      <w:r/>
    </w:p>
    <w:p>
      <w:pPr>
        <w:spacing w:line="360" w:lineRule="auto" w:after="40"/>
      </w:pPr>
      <w:r>
        <w:t>4. 一家金融机构(FI)的一名员工怀疑其一位同事参与了一个金融投资诈骗团伙。该员工接下来应采取哪一步骤?</w:t>
      </w:r>
    </w:p>
    <w:p>
      <w:pPr>
        <w:spacing w:line="360" w:lineRule="auto" w:after="20"/>
      </w:pPr>
      <w:r>
        <w:t>A.在向公司人力资源部门报告之前，先向同事询问以确定自己的怀疑是否正确</w:t>
      </w:r>
    </w:p>
    <w:p>
      <w:pPr>
        <w:spacing w:line="360" w:lineRule="auto" w:after="20"/>
      </w:pPr>
      <w:r>
        <w:t>B.利用FI的举报渠道来举报该可疑员工</w:t>
      </w:r>
    </w:p>
    <w:p>
      <w:pPr>
        <w:spacing w:line="360" w:lineRule="auto" w:after="20"/>
      </w:pPr>
      <w:r>
        <w:t>C.提醒FI的同事和客户，该员工可疑的金融投资建议可能是骗局</w:t>
      </w:r>
    </w:p>
    <w:p>
      <w:pPr>
        <w:spacing w:line="360" w:lineRule="auto" w:after="20"/>
      </w:pPr>
      <w:r>
        <w:t>D.利用人工智能工具开展开源情报调查，以获取有关涉嫌员工活动的更多信息</w:t>
      </w:r>
    </w:p>
    <w:p>
      <w:pPr>
        <w:spacing w:line="360" w:lineRule="auto" w:after="20"/>
      </w:pPr>
      <w:r>
        <w:t>E.将涉嫌违规的员工报告给FI的直属经理，由其采取必要的行动</w:t>
      </w:r>
    </w:p>
    <w:p>
      <w:pPr>
        <w:spacing w:line="360" w:lineRule="auto" w:after="40"/>
      </w:pPr>
      <w:r>
        <w:t>答案:B</w:t>
      </w:r>
    </w:p>
    <w:p>
      <w:pPr>
        <w:spacing w:line="360" w:lineRule="auto" w:after="40"/>
      </w:pPr>
      <w:r>
        <w:rPr>
          <w:b/>
          <w:shd w:fill="D6E4F0" w:val="clear"/>
        </w:rPr>
        <w:t>解析:</w:t>
      </w:r>
    </w:p>
    <w:p>
      <w:pPr>
        <w:spacing w:line="360" w:lineRule="auto" w:after="40"/>
      </w:pPr>
      <w:r>
        <w:rPr>
          <w:b/>
          <w:shd w:fill="D6E4F0" w:val="clear"/>
        </w:rPr>
        <w:t>考点：</w:t>
      </w:r>
    </w:p>
    <w:p>
      <w:pPr>
        <w:spacing w:line="360" w:lineRule="auto" w:after="40"/>
      </w:pPr>
      <w:r>
        <w:rPr>
          <w:b/>
        </w:rPr>
        <w:t>内部可疑行为应通过正式举报渠道报告合规官，而非自行调查或扩散信息</w:t>
      </w:r>
    </w:p>
    <w:p>
      <w:pPr>
        <w:spacing w:line="360" w:lineRule="auto" w:after="40"/>
      </w:pPr>
      <w:r>
        <w:rPr>
          <w:b/>
          <w:shd w:fill="D6E4F0" w:val="clear"/>
        </w:rPr>
        <w:t>核心解析：</w:t>
      </w:r>
    </w:p>
    <w:p>
      <w:pPr>
        <w:spacing w:line="360" w:lineRule="auto" w:after="40"/>
      </w:pPr>
      <w:r>
        <w:t>教材规定，机构应制定政策和程序，使员工能够</w:t>
      </w:r>
      <w:r>
        <w:rPr>
          <w:b/>
        </w:rPr>
        <w:t>将可疑情况报告给指定的合规官</w:t>
      </w:r>
      <w:r>
        <w:rPr>
          <w:sz w:val="15"/>
          <w:vertAlign w:val="superscript"/>
        </w:rPr>
        <w:t>P351</w:t>
      </w:r>
      <w:r>
        <w:t>。合规官负责评估信息并决定应采取的行动</w:t>
      </w:r>
      <w:r>
        <w:rPr>
          <w:sz w:val="15"/>
          <w:vertAlign w:val="superscript"/>
        </w:rPr>
        <w:t>P351</w:t>
      </w:r>
      <w:r>
        <w:t>。题干中“怀疑同事参与金融投资诈骗”属于员工对内部不法行为的可疑情况。此时，员工应遵循机构建立的举报机制，通过正式举报渠道将信息递交至合规职能部门，由具备专业能力和法定职责的人员进行研判。选项B“利用FI的举报渠道来举报该可疑员工”直接对应了这一标准流程，确保了信息的保密性、报告的规范性，并避免了潜在的风险。</w:t>
      </w:r>
    </w:p>
    <w:p>
      <w:pPr>
        <w:spacing w:line="360" w:lineRule="auto" w:after="40"/>
      </w:pPr>
      <w:r>
        <w:rPr>
          <w:b/>
          <w:shd w:fill="D6E4F0" w:val="clear"/>
        </w:rPr>
        <w:t>错误项分析：</w:t>
      </w:r>
    </w:p>
    <w:p>
      <w:pPr>
        <w:spacing w:line="360" w:lineRule="auto" w:after="40"/>
      </w:pPr>
      <w:r>
        <w:rPr>
          <w:b/>
          <w:shd w:fill="D6E4F0" w:val="clear"/>
        </w:rPr>
        <w:t>A项错误：</w:t>
      </w:r>
    </w:p>
    <w:p>
      <w:pPr>
        <w:spacing w:line="360" w:lineRule="auto" w:after="40"/>
      </w:pPr>
      <w:r>
        <w:t>“向同事询问以确定自己的怀疑”的匹配度低于正式举报。教材强调，在存在金融犯罪嫌疑时，必须注意不得通风报信（tipping off）</w:t>
      </w:r>
      <w:r>
        <w:rPr>
          <w:sz w:val="15"/>
          <w:vertAlign w:val="superscript"/>
        </w:rPr>
        <w:t>P364</w:t>
      </w:r>
      <w:r>
        <w:t>。直接询问被怀疑的同事极有可能构成“通风报信”，可能导致证据灭失或串供，这与反洗钱合规的核心操作原则相悖。</w:t>
      </w:r>
    </w:p>
    <w:p>
      <w:pPr>
        <w:spacing w:line="360" w:lineRule="auto" w:after="40"/>
      </w:pPr>
      <w:r>
        <w:rPr>
          <w:b/>
          <w:shd w:fill="D6E4F0" w:val="clear"/>
        </w:rPr>
        <w:t>C项错误：</w:t>
      </w:r>
    </w:p>
    <w:p>
      <w:pPr>
        <w:spacing w:line="360" w:lineRule="auto" w:after="40"/>
      </w:pPr>
      <w:r>
        <w:t>“提醒同事和客户”的行为与选项A的问题类似，甚至更严重。它大范围扩散了未经证实的怀疑信息，不仅构成了对嫌疑同事的“通风报信”</w:t>
      </w:r>
      <w:r>
        <w:rPr>
          <w:sz w:val="15"/>
          <w:vertAlign w:val="superscript"/>
        </w:rPr>
        <w:t>P364</w:t>
      </w:r>
      <w:r>
        <w:t>，还可能引发对机构的声誉损害和法律风险。题干情景要求的是启动内部调查程序，而非充当信息发布者。</w:t>
      </w:r>
    </w:p>
    <w:p>
      <w:pPr>
        <w:spacing w:line="360" w:lineRule="auto" w:after="40"/>
      </w:pPr>
      <w:r>
        <w:rPr>
          <w:b/>
          <w:shd w:fill="D6E4F0" w:val="clear"/>
        </w:rPr>
        <w:t>D项错误：</w:t>
      </w:r>
    </w:p>
    <w:p>
      <w:pPr>
        <w:spacing w:line="360" w:lineRule="auto" w:after="40"/>
      </w:pPr>
      <w:r>
        <w:t>开源情报可用于供应商或董事背景筛查</w:t>
      </w:r>
      <w:r>
        <w:rPr>
          <w:sz w:val="15"/>
          <w:vertAlign w:val="superscript"/>
        </w:rPr>
        <w:t>P324</w:t>
      </w:r>
      <w:r>
        <w:t>，但普通员工发现同事可能参与诈骗后，不应自行借助AI开展个人调查。这样做可能超越权限、破坏证据处理流程并带来隐私风险；更合适的做法是通过正式举报渠道交由授权人员调查。</w:t>
      </w:r>
    </w:p>
    <w:p>
      <w:pPr>
        <w:spacing w:line="360" w:lineRule="auto" w:after="40"/>
      </w:pPr>
      <w:r>
        <w:rPr>
          <w:b/>
          <w:shd w:fill="D6E4F0" w:val="clear"/>
        </w:rPr>
        <w:t>E项错误：</w:t>
      </w:r>
    </w:p>
    <w:p>
      <w:pPr>
        <w:spacing w:line="360" w:lineRule="auto" w:after="40"/>
      </w:pPr>
      <w:r>
        <w:t>“报告给直属经理”不如“利用FI的举报渠道”直接。教材明确指出应报告给“指定的合规官”</w:t>
      </w:r>
      <w:r>
        <w:rPr>
          <w:sz w:val="15"/>
          <w:vertAlign w:val="superscript"/>
        </w:rPr>
        <w:t>P351</w:t>
      </w:r>
      <w:r>
        <w:t>，而非一个泛指的“直属经理”。合规官在这一流程中拥有明确的法律和程序角色。报告给直属经理可能绕过了反洗钱合规职能的专门通道，无法保证信息会按规定得到恰当处理。</w:t>
      </w:r>
    </w:p>
    <w:p>
      <w:pPr>
        <w:spacing w:line="360" w:lineRule="auto" w:after="40"/>
      </w:pPr>
      <w:r>
        <w:rPr>
          <w:b/>
          <w:shd w:fill="D6E4F0" w:val="clear"/>
        </w:rPr>
        <w:t>易错提醒：</w:t>
      </w:r>
    </w:p>
    <w:p>
      <w:pPr>
        <w:spacing w:line="360" w:lineRule="auto" w:after="40"/>
      </w:pPr>
      <w:r>
        <w:t>容易混淆“向经理报告”和“向指定合规官报告”的区别。在反洗钱框架下，机构必须建立专门的举报渠道将可疑情况直接报告给合规职能部门，而非依赖于常规的上下级管理汇报链条</w:t>
      </w:r>
      <w:r>
        <w:rPr>
          <w:sz w:val="15"/>
          <w:vertAlign w:val="superscript"/>
        </w:rPr>
        <w:t>P351</w:t>
      </w:r>
      <w:r>
        <w:t>。</w:t>
      </w:r>
    </w:p>
    <w:p>
      <w:pPr>
        <w:spacing w:line="360" w:lineRule="auto" w:after="120"/>
      </w:pPr>
      <w:r/>
    </w:p>
    <w:p>
      <w:pPr>
        <w:spacing w:line="360" w:lineRule="auto" w:after="40"/>
      </w:pPr>
      <w:r>
        <w:t>5. 一家大型银行的合规官接到任务，要对一位长期客户的一系列异常交易进行调查。该客户在短时间内向多个账户存入了多笔大额现金，这引起了警觉。在收集并分析交易数据、查阅客户记录以及与外部资料进行交叉比对后，合规官认定有合理理由怀疑存在洗钱行为。作为调查记录的一部分，合规官必须决定如何以及何时在内部上报此事，以及是否要提交可疑活动报告（SAR）。在这个过程中，接下来的关键步骤是什么？</w:t>
      </w:r>
    </w:p>
    <w:p>
      <w:pPr>
        <w:spacing w:line="360" w:lineRule="auto" w:after="20"/>
      </w:pPr>
      <w:r>
        <w:t>A.记录客户的交易历史，并在发现进一步可疑活动之前对调查内容保密</w:t>
      </w:r>
    </w:p>
    <w:p>
      <w:pPr>
        <w:spacing w:line="360" w:lineRule="auto" w:after="20"/>
      </w:pPr>
      <w:r>
        <w:t>B.立即将此情况上报给高级管理层，建议因潜在的声誉风险关闭该客户的账户</w:t>
      </w:r>
    </w:p>
    <w:p>
      <w:pPr>
        <w:spacing w:line="360" w:lineRule="auto" w:after="20"/>
      </w:pPr>
      <w:r>
        <w:t>C.将调查情况报告给外部审计员，并在采取任何行动之前等待进一步的指示</w:t>
      </w:r>
    </w:p>
    <w:p>
      <w:pPr>
        <w:spacing w:line="360" w:lineRule="auto" w:after="20"/>
      </w:pPr>
      <w:r>
        <w:t>D.拟写一份可疑活动报告，其中应包含交易的详细时间线、客户背景以及产生怀疑的理由，并在监管规定的时间内提交给相关金融情报机构（FIU）</w:t>
      </w:r>
    </w:p>
    <w:p>
      <w:pPr>
        <w:spacing w:line="360" w:lineRule="auto" w:after="40"/>
      </w:pPr>
      <w:r>
        <w:t>答案:D</w:t>
      </w:r>
    </w:p>
    <w:p>
      <w:pPr>
        <w:spacing w:line="360" w:lineRule="auto" w:after="40"/>
      </w:pPr>
      <w:r>
        <w:rPr>
          <w:b/>
          <w:shd w:fill="D6E4F0" w:val="clear"/>
        </w:rPr>
        <w:t>解析:</w:t>
      </w:r>
    </w:p>
    <w:p>
      <w:pPr>
        <w:spacing w:line="360" w:lineRule="auto" w:after="40"/>
      </w:pPr>
      <w:r>
        <w:rPr>
          <w:b/>
          <w:shd w:fill="D6E4F0" w:val="clear"/>
        </w:rPr>
        <w:t>考点：</w:t>
      </w:r>
    </w:p>
    <w:p>
      <w:pPr>
        <w:spacing w:line="360" w:lineRule="auto" w:after="40"/>
      </w:pPr>
      <w:r>
        <w:rPr>
          <w:b/>
        </w:rPr>
        <w:t>合理怀疑成立后启动SAR程序并在监管期限内完成提交</w:t>
      </w:r>
    </w:p>
    <w:p>
      <w:pPr>
        <w:spacing w:line="360" w:lineRule="auto" w:after="40"/>
      </w:pPr>
      <w:r>
        <w:rPr>
          <w:b/>
          <w:shd w:fill="D6E4F0" w:val="clear"/>
        </w:rPr>
        <w:t>核心解析：</w:t>
      </w:r>
    </w:p>
    <w:p>
      <w:pPr>
        <w:spacing w:line="360" w:lineRule="auto" w:after="40"/>
      </w:pPr>
      <w:r>
        <w:t>题干中合规官已经完成调查并形成合理的洗钱怀疑，SAR报告流程由此启动。教材要求在怀疑或知悉相关人员从事洗钱等犯罪活动时</w:t>
      </w:r>
      <w:r>
        <w:rPr>
          <w:b/>
        </w:rPr>
        <w:t>尽快建议SAR</w:t>
      </w:r>
      <w:r>
        <w:rPr>
          <w:sz w:val="15"/>
          <w:vertAlign w:val="superscript"/>
        </w:rPr>
        <w:t>P352</w:t>
      </w:r>
      <w:r>
        <w:t>；一旦活动被认定为可疑，报告时限开始，SAR必须在监管机构规定的期限内提交</w:t>
      </w:r>
      <w:r>
        <w:rPr>
          <w:sz w:val="15"/>
          <w:vertAlign w:val="superscript"/>
        </w:rPr>
        <w:t>P352</w:t>
      </w:r>
      <w:r>
        <w:t>。这意味着应当及时启动报告程序，但并非要求在形成怀疑的同一时刻完成提交。</w:t>
      </w:r>
    </w:p>
    <w:p>
      <w:pPr>
        <w:spacing w:line="360" w:lineRule="auto" w:after="40"/>
      </w:pPr>
      <w:r>
        <w:t>教材还要求SAR中的信息适当、完整且基于事实</w:t>
      </w:r>
      <w:r>
        <w:rPr>
          <w:sz w:val="15"/>
          <w:vertAlign w:val="superscript"/>
        </w:rPr>
        <w:t>P352</w:t>
      </w:r>
      <w:r>
        <w:t>，并包含客户信息、机构提供的服务、交易活动、怀疑理由及支持证据</w:t>
      </w:r>
      <w:r>
        <w:rPr>
          <w:sz w:val="15"/>
          <w:vertAlign w:val="superscript"/>
        </w:rPr>
        <w:t>P353</w:t>
      </w:r>
      <w:r>
        <w:t>。选项D涵盖了拟写SAR、记录交易时间线和客户背景、说明怀疑理由以及在规定期限内向相关FIU提交，完整对应报告启动、内容准备和按期提交三个环节，因此正确。</w:t>
      </w:r>
    </w:p>
    <w:p>
      <w:pPr>
        <w:spacing w:line="360" w:lineRule="auto" w:after="40"/>
      </w:pPr>
      <w:r>
        <w:rPr>
          <w:b/>
          <w:shd w:fill="D6E4F0" w:val="clear"/>
        </w:rPr>
        <w:t>教材原句：</w:t>
      </w:r>
    </w:p>
    <w:p>
      <w:pPr>
        <w:spacing w:line="360" w:lineRule="auto" w:after="40"/>
      </w:pPr>
      <w:r>
        <w:t>"You should recommend a SAR as soon as you suspect, or know, that a person is engaged in money laundering, terrorist financing, or other criminal activity."</w:t>
      </w:r>
    </w:p>
    <w:p>
      <w:pPr>
        <w:spacing w:line="360" w:lineRule="auto" w:after="40"/>
      </w:pPr>
      <w:r>
        <w:rPr>
          <w:b/>
          <w:shd w:fill="D6E4F0" w:val="clear"/>
        </w:rPr>
        <w:t>错误项分析：</w:t>
      </w:r>
    </w:p>
    <w:p>
      <w:pPr>
        <w:spacing w:line="360" w:lineRule="auto" w:after="40"/>
      </w:pPr>
      <w:r>
        <w:rPr>
          <w:b/>
          <w:shd w:fill="D6E4F0" w:val="clear"/>
        </w:rPr>
        <w:t>A项错误：</w:t>
      </w:r>
    </w:p>
    <w:p>
      <w:pPr>
        <w:spacing w:line="360" w:lineRule="auto" w:after="40"/>
      </w:pPr>
      <w:r>
        <w:t>题干已经说明合理怀疑成立，教材要求此时尽快建议SAR，并从活动被认定为可疑时开始计算报告期限</w:t>
      </w:r>
      <w:r>
        <w:rPr>
          <w:sz w:val="15"/>
          <w:vertAlign w:val="superscript"/>
        </w:rPr>
        <w:t>P352</w:t>
      </w:r>
      <w:r>
        <w:t>。A却要求等待发现进一步可疑活动后再采取行动，会不必要地推迟已经触发的报告流程。</w:t>
      </w:r>
    </w:p>
    <w:p>
      <w:pPr>
        <w:spacing w:line="360" w:lineRule="auto" w:after="40"/>
      </w:pPr>
      <w:r>
        <w:rPr>
          <w:b/>
          <w:shd w:fill="D6E4F0" w:val="clear"/>
        </w:rPr>
        <w:t>B项错误：</w:t>
      </w:r>
    </w:p>
    <w:p>
      <w:pPr>
        <w:spacing w:line="360" w:lineRule="auto" w:after="40"/>
      </w:pPr>
      <w:r>
        <w:t>B从形成怀疑直接跳到建议关闭账户，遗漏了SAR报告程序。教材说明，提交SAR后，金融机构才决定保留还是关闭受影响账户</w:t>
      </w:r>
      <w:r>
        <w:rPr>
          <w:sz w:val="15"/>
          <w:vertAlign w:val="superscript"/>
        </w:rPr>
        <w:t>P356-357</w:t>
      </w:r>
      <w:r>
        <w:t>，因此账户处置不能替代本题所问的下一关键步骤。</w:t>
      </w:r>
    </w:p>
    <w:p>
      <w:pPr>
        <w:spacing w:line="360" w:lineRule="auto" w:after="40"/>
      </w:pPr>
      <w:r>
        <w:rPr>
          <w:b/>
          <w:shd w:fill="D6E4F0" w:val="clear"/>
        </w:rPr>
        <w:t>C项错误：</w:t>
      </w:r>
    </w:p>
    <w:p>
      <w:pPr>
        <w:spacing w:line="360" w:lineRule="auto" w:after="40"/>
      </w:pPr>
      <w:r>
        <w:t>若案件事实表明需要对外报告，通常应向相关司法管辖区的主管机构提交SAR</w:t>
      </w:r>
      <w:r>
        <w:rPr>
          <w:sz w:val="15"/>
          <w:vertAlign w:val="superscript"/>
        </w:rPr>
        <w:t>P351</w:t>
      </w:r>
      <w:r>
        <w:t>。外部审计员不是选项D所述SAR的接收主体，等待其进一步指示也不能替代在监管期限内履行报告义务。</w:t>
      </w:r>
    </w:p>
    <w:p>
      <w:pPr>
        <w:spacing w:line="360" w:lineRule="auto" w:after="40"/>
      </w:pPr>
      <w:r>
        <w:rPr>
          <w:b/>
          <w:shd w:fill="D6E4F0" w:val="clear"/>
        </w:rPr>
        <w:t>易错提醒：</w:t>
      </w:r>
    </w:p>
    <w:p>
      <w:pPr>
        <w:spacing w:line="360" w:lineRule="auto" w:after="40"/>
      </w:pPr>
      <w:r>
        <w:t>应区分“尽快启动SAR程序”与“立即完成SAR提交”：形成怀疑后应及时建议并准备SAR，随后在监管机构规定期限内提交。账户是否保留或关闭是SAR提交后的后续决定，不能替代报告程序。</w:t>
      </w:r>
    </w:p>
    <w:p>
      <w:pPr>
        <w:spacing w:line="360" w:lineRule="auto" w:after="120"/>
      </w:pPr>
      <w:r/>
    </w:p>
    <w:p>
      <w:pPr>
        <w:spacing w:line="360" w:lineRule="auto" w:after="40"/>
      </w:pPr>
      <w:r>
        <w:t>6. 根据金融行动特别工作组(FATF)关于“通风报信”的建议，以下哪项陈述准确描述了报告实体的义务？</w:t>
      </w:r>
    </w:p>
    <w:p>
      <w:pPr>
        <w:spacing w:line="360" w:lineRule="auto" w:after="20"/>
      </w:pPr>
      <w:r>
        <w:t>A.报告主体不得向客户或第三方透露已提交可疑活动报告(SAR)，或相关调查正在进行</w:t>
      </w:r>
    </w:p>
    <w:p>
      <w:pPr>
        <w:spacing w:line="360" w:lineRule="auto" w:after="20"/>
      </w:pPr>
      <w:r>
        <w:t>B.报告主体可以在组织内部共享有关可疑活动的一般信息，同时不泄露机密</w:t>
      </w:r>
    </w:p>
    <w:p>
      <w:pPr>
        <w:spacing w:line="360" w:lineRule="auto" w:after="20"/>
      </w:pPr>
      <w:r>
        <w:t>C.报告主体必须在其向客户提交可疑活动报告(SAR)时告知客户，这是保持客户关系透明度的一部分</w:t>
      </w:r>
    </w:p>
    <w:p>
      <w:pPr>
        <w:spacing w:line="360" w:lineRule="auto" w:after="20"/>
      </w:pPr>
      <w:r>
        <w:t>D.报告主体在提交可疑活动报告之前，如果与客户讨论可疑活动有助于澄清情况，可与客户进行讨论</w:t>
      </w:r>
    </w:p>
    <w:p>
      <w:pPr>
        <w:spacing w:line="360" w:lineRule="auto" w:after="40"/>
      </w:pPr>
      <w:r>
        <w:t>答案:A</w:t>
      </w:r>
    </w:p>
    <w:p>
      <w:pPr>
        <w:spacing w:line="360" w:lineRule="auto" w:after="40"/>
      </w:pPr>
      <w:r>
        <w:rPr>
          <w:b/>
          <w:shd w:fill="D6E4F0" w:val="clear"/>
        </w:rPr>
        <w:t>解析:</w:t>
      </w:r>
    </w:p>
    <w:p>
      <w:pPr>
        <w:spacing w:line="360" w:lineRule="auto" w:after="40"/>
      </w:pPr>
      <w:r>
        <w:rPr>
          <w:b/>
          <w:shd w:fill="D6E4F0" w:val="clear"/>
        </w:rPr>
        <w:t>考点：</w:t>
      </w:r>
    </w:p>
    <w:p>
      <w:pPr>
        <w:spacing w:line="360" w:lineRule="auto" w:after="40"/>
      </w:pPr>
      <w:r>
        <w:rPr>
          <w:b/>
        </w:rPr>
        <w:t>FATF关于“通风报信”（tipping off）的禁止性定义</w:t>
      </w:r>
    </w:p>
    <w:p>
      <w:pPr>
        <w:spacing w:line="360" w:lineRule="auto" w:after="40"/>
      </w:pPr>
      <w:r>
        <w:rPr>
          <w:b/>
          <w:shd w:fill="D6E4F0" w:val="clear"/>
        </w:rPr>
        <w:t>核心解析：</w:t>
      </w:r>
    </w:p>
    <w:p>
      <w:pPr>
        <w:spacing w:line="360" w:lineRule="auto" w:after="40"/>
      </w:pPr>
      <w:r>
        <w:t>“通风报信”（tipping off）是调查人员有意或无意让调查对象知道其活动正在被监控的行为，反洗钱法规禁止这种行为</w:t>
      </w:r>
      <w:r>
        <w:rPr>
          <w:sz w:val="15"/>
          <w:vertAlign w:val="superscript"/>
        </w:rPr>
        <w:t>P340</w:t>
      </w:r>
      <w:r>
        <w:t>。关于SAR，常见规则要求避免</w:t>
      </w:r>
      <w:r>
        <w:rPr>
          <w:b/>
        </w:rPr>
        <w:t>向客户或其他未经授权方披露SAR</w:t>
      </w:r>
      <w:r>
        <w:rPr>
          <w:sz w:val="15"/>
          <w:vertAlign w:val="superscript"/>
        </w:rPr>
        <w:t>P352</w:t>
      </w:r>
      <w:r>
        <w:t>；法规还禁止披露SAR或任何表明SAR已经提交的信息，但特定执法机构属于例外</w:t>
      </w:r>
      <w:r>
        <w:rPr>
          <w:sz w:val="15"/>
          <w:vertAlign w:val="superscript"/>
        </w:rPr>
        <w:t>P353</w:t>
      </w:r>
      <w:r>
        <w:t>。因此，A最直接对应报告实体的保密义务。其中“第三方”应理解为未经授权的第三方，不能扩大为所有第三方；依法向有权机关披露与向客户或无权限人员泄露调查信息，性质不同。</w:t>
      </w:r>
    </w:p>
    <w:p>
      <w:pPr>
        <w:spacing w:line="360" w:lineRule="auto" w:after="40"/>
      </w:pPr>
      <w:r>
        <w:rPr>
          <w:b/>
          <w:shd w:fill="D6E4F0" w:val="clear"/>
        </w:rPr>
        <w:t>错误项分析：</w:t>
      </w:r>
    </w:p>
    <w:p>
      <w:pPr>
        <w:spacing w:line="360" w:lineRule="auto" w:after="40"/>
      </w:pPr>
      <w:r>
        <w:rPr>
          <w:b/>
          <w:shd w:fill="D6E4F0" w:val="clear"/>
        </w:rPr>
        <w:t>B项错误：</w:t>
      </w:r>
    </w:p>
    <w:p>
      <w:pPr>
        <w:spacing w:line="360" w:lineRule="auto" w:after="40"/>
      </w:pPr>
      <w:r>
        <w:t>教材要求即使在金融机构内部，SAR也应谨慎处理，并非所有人员都应有访问权限</w:t>
      </w:r>
      <w:r>
        <w:rPr>
          <w:sz w:val="15"/>
          <w:vertAlign w:val="superscript"/>
        </w:rPr>
        <w:t>P352</w:t>
      </w:r>
      <w:r>
        <w:t>。因此，在不披露SAR、申报事实或可据此推断申报的信息，并按权限控制的前提下，内部共享一般信息并非当然被禁止。B没有说明共享对象、授权范围和信息内容，也没有直接回答题干所问的通风报信禁止义务，因此不如A直接匹配。</w:t>
      </w:r>
    </w:p>
    <w:p>
      <w:pPr>
        <w:spacing w:line="360" w:lineRule="auto" w:after="40"/>
      </w:pPr>
      <w:r>
        <w:rPr>
          <w:b/>
          <w:shd w:fill="D6E4F0" w:val="clear"/>
        </w:rPr>
        <w:t>C项错误：</w:t>
      </w:r>
    </w:p>
    <w:p>
      <w:pPr>
        <w:spacing w:line="360" w:lineRule="auto" w:after="40"/>
      </w:pPr>
      <w:r>
        <w:t>选项C主张将披露SAR作为“透明度”的一环，这与禁止通风报信的核心原则直接冲突。教材明确将向客户披露SAR内容定性为违法的“通风报信”行为</w:t>
      </w:r>
      <w:r>
        <w:rPr>
          <w:sz w:val="15"/>
          <w:vertAlign w:val="superscript"/>
        </w:rPr>
        <w:t>P353</w:t>
      </w:r>
      <w:r>
        <w:t>，而非透明度要求的一部分，因此其义务方向与A相反。</w:t>
      </w:r>
    </w:p>
    <w:p>
      <w:pPr>
        <w:spacing w:line="360" w:lineRule="auto" w:after="40"/>
      </w:pPr>
      <w:r>
        <w:rPr>
          <w:b/>
          <w:shd w:fill="D6E4F0" w:val="clear"/>
        </w:rPr>
        <w:t>D项错误：</w:t>
      </w:r>
    </w:p>
    <w:p>
      <w:pPr>
        <w:spacing w:line="360" w:lineRule="auto" w:after="40"/>
      </w:pPr>
      <w:r>
        <w:t>教材允许在信息确有必要且无法从内部或外部取得时规划客户外联</w:t>
      </w:r>
      <w:r>
        <w:rPr>
          <w:sz w:val="15"/>
          <w:vertAlign w:val="superscript"/>
        </w:rPr>
        <w:t>P340</w:t>
      </w:r>
      <w:r>
        <w:t>，但沟通人员必须保持保密并避免向客户通风报信</w:t>
      </w:r>
      <w:r>
        <w:rPr>
          <w:sz w:val="15"/>
          <w:vertAlign w:val="superscript"/>
        </w:rPr>
        <w:t>P339</w:t>
      </w:r>
      <w:r>
        <w:t>；通风报信包括让调查对象知道自己正在被监控</w:t>
      </w:r>
      <w:r>
        <w:rPr>
          <w:sz w:val="15"/>
          <w:vertAlign w:val="superscript"/>
        </w:rPr>
        <w:t>P340</w:t>
      </w:r>
      <w:r>
        <w:t>。因此，客户外联本身并非绝对禁止，但直接与客户“讨论可疑活动”可能暴露调查或怀疑状态，不能替代A所对应的明确保密义务。</w:t>
      </w:r>
    </w:p>
    <w:p>
      <w:pPr>
        <w:spacing w:line="360" w:lineRule="auto" w:after="40"/>
      </w:pPr>
      <w:r>
        <w:rPr>
          <w:b/>
          <w:shd w:fill="D6E4F0" w:val="clear"/>
        </w:rPr>
        <w:t>易错提醒：</w:t>
      </w:r>
    </w:p>
    <w:p>
      <w:pPr>
        <w:spacing w:line="360" w:lineRule="auto" w:after="40"/>
      </w:pPr>
      <w:r>
        <w:t>“可以向客户询问以澄清情况”不等于可以向客户透露调查。教材允许为核实交易事实、发票或运营文件等关键信息而进行客户外联，但必须保持保密，不能透露SAR已提交、调查正在进行或客户已成为调查对象</w:t>
      </w:r>
      <w:r>
        <w:rPr>
          <w:sz w:val="15"/>
          <w:vertAlign w:val="superscript"/>
        </w:rPr>
        <w:t>P339-P340</w:t>
      </w:r>
      <w:r>
        <w:t>。</w:t>
      </w:r>
    </w:p>
    <w:p>
      <w:pPr>
        <w:spacing w:line="360" w:lineRule="auto" w:after="120"/>
      </w:pPr>
      <w:r/>
    </w:p>
    <w:p>
      <w:pPr>
        <w:spacing w:line="360" w:lineRule="auto" w:after="40"/>
      </w:pPr>
      <w:r>
        <w:t>7. 一家金融机构（FI）的员工怀疑一名同事参与金融投资诈骗团伙。该员工接下来应采取哪一步骤？</w:t>
      </w:r>
    </w:p>
    <w:p>
      <w:pPr>
        <w:spacing w:line="360" w:lineRule="auto" w:after="20"/>
      </w:pPr>
      <w:r>
        <w:t>A.利用人工智能工具开展开源情报调查，以获取有关涉嫌员工活动的更多信息</w:t>
      </w:r>
    </w:p>
    <w:p>
      <w:pPr>
        <w:spacing w:line="360" w:lineRule="auto" w:after="20"/>
      </w:pPr>
      <w:r>
        <w:t>B.利用FI的举报渠道举报该可疑员工</w:t>
      </w:r>
    </w:p>
    <w:p>
      <w:pPr>
        <w:spacing w:line="360" w:lineRule="auto" w:after="20"/>
      </w:pPr>
      <w:r>
        <w:t>C.在向金融机构的人力资源部门报告之前，先向该同事询问以确认自己的怀疑</w:t>
      </w:r>
    </w:p>
    <w:p>
      <w:pPr>
        <w:spacing w:line="360" w:lineRule="auto" w:after="20"/>
      </w:pPr>
      <w:r>
        <w:t>D.提醒该金融机构的同事和客户，该员工提出的可疑金融投资建议可能是骗局</w:t>
      </w:r>
    </w:p>
    <w:p>
      <w:pPr>
        <w:spacing w:line="360" w:lineRule="auto" w:after="20"/>
      </w:pPr>
      <w:r>
        <w:t>E.将涉嫌违规的员工报告给其在金融机构内的直属经理，由该经理采取必要行动</w:t>
      </w:r>
    </w:p>
    <w:p>
      <w:pPr>
        <w:spacing w:line="360" w:lineRule="auto" w:after="40"/>
      </w:pPr>
      <w:r>
        <w:t>答案:B</w:t>
      </w:r>
    </w:p>
    <w:p>
      <w:pPr>
        <w:spacing w:line="360" w:lineRule="auto" w:after="40"/>
      </w:pPr>
      <w:r>
        <w:rPr>
          <w:b/>
          <w:shd w:fill="D6E4F0" w:val="clear"/>
        </w:rPr>
        <w:t>解析:</w:t>
      </w:r>
    </w:p>
    <w:p>
      <w:pPr>
        <w:spacing w:line="360" w:lineRule="auto" w:after="40"/>
      </w:pPr>
      <w:r>
        <w:rPr>
          <w:b/>
          <w:shd w:fill="D6E4F0" w:val="clear"/>
        </w:rPr>
        <w:t>考点：</w:t>
      </w:r>
    </w:p>
    <w:p>
      <w:pPr>
        <w:spacing w:line="360" w:lineRule="auto" w:after="40"/>
      </w:pPr>
      <w:r>
        <w:rPr>
          <w:b/>
        </w:rPr>
        <w:t>员工内部举报可疑行为的正确渠道与程序</w:t>
      </w:r>
    </w:p>
    <w:p>
      <w:pPr>
        <w:spacing w:line="360" w:lineRule="auto" w:after="40"/>
      </w:pPr>
      <w:r>
        <w:rPr>
          <w:b/>
          <w:shd w:fill="D6E4F0" w:val="clear"/>
        </w:rPr>
        <w:t>核心解析：</w:t>
      </w:r>
    </w:p>
    <w:p>
      <w:pPr>
        <w:spacing w:line="360" w:lineRule="auto" w:after="40"/>
      </w:pPr>
      <w:r>
        <w:t>教材指出，内部热线和举报投诉可以成为反洗钱调查的信息来源</w:t>
      </w:r>
      <w:r>
        <w:rPr>
          <w:sz w:val="15"/>
          <w:vertAlign w:val="superscript"/>
        </w:rPr>
        <w:t>P335</w:t>
      </w:r>
      <w:r>
        <w:t>；机构还应建立政策和程序，使员工能够</w:t>
      </w:r>
      <w:r>
        <w:rPr>
          <w:b/>
        </w:rPr>
        <w:t>向指定合规官报告怀疑</w:t>
      </w:r>
      <w:r>
        <w:rPr>
          <w:sz w:val="15"/>
          <w:vertAlign w:val="superscript"/>
        </w:rPr>
        <w:t>P351</w:t>
      </w:r>
      <w:r>
        <w:t>。收到报告后，应由指定合规官评估相关信息并决定是否调查、升级或采取其他行动</w:t>
      </w:r>
      <w:r>
        <w:rPr>
          <w:sz w:val="15"/>
          <w:vertAlign w:val="superscript"/>
        </w:rPr>
        <w:t>P351</w:t>
      </w:r>
      <w:r>
        <w:t>。本题中的员工只是产生了合理怀疑，不应自行调查、质问涉事人员或向其他人员扩散未经核实的信息。选项B通过金融机构的正式举报渠道报告，最符合教材规定的内部报告和后续评估流程，因此正确。</w:t>
      </w:r>
    </w:p>
    <w:p>
      <w:pPr>
        <w:spacing w:line="360" w:lineRule="auto" w:after="40"/>
      </w:pPr>
      <w:r>
        <w:rPr>
          <w:b/>
          <w:shd w:fill="D6E4F0" w:val="clear"/>
        </w:rPr>
        <w:t>教材原句：</w:t>
      </w:r>
    </w:p>
    <w:p>
      <w:pPr>
        <w:spacing w:line="360" w:lineRule="auto" w:after="40"/>
      </w:pPr>
      <w:r>
        <w:t>"It is important that organizations implement policies and procedures to enable staff to report their suspicions to an assigned compliance officer."</w:t>
      </w:r>
    </w:p>
    <w:p>
      <w:pPr>
        <w:spacing w:line="360" w:lineRule="auto" w:after="40"/>
      </w:pPr>
      <w:r>
        <w:rPr>
          <w:b/>
          <w:shd w:fill="D6E4F0" w:val="clear"/>
        </w:rPr>
        <w:t>错误项分析：</w:t>
      </w:r>
    </w:p>
    <w:p>
      <w:pPr>
        <w:spacing w:line="360" w:lineRule="auto" w:after="40"/>
      </w:pPr>
      <w:r>
        <w:rPr>
          <w:b/>
          <w:shd w:fill="D6E4F0" w:val="clear"/>
        </w:rPr>
        <w:t>A项错误：</w:t>
      </w:r>
    </w:p>
    <w:p>
      <w:pPr>
        <w:spacing w:line="360" w:lineRule="auto" w:after="40"/>
      </w:pPr>
      <w:r>
        <w:t>普通员工的职责是报告怀疑，而不是自行使用人工智能或开源情报工具调查同事。自行调查可能涉及访问权限、个人信息处理和证据保全问题，也可能干扰机构后续的独立调查。教材规定，应由指定合规官在收到报告后评估信息并决定后续行动</w:t>
      </w:r>
      <w:r>
        <w:rPr>
          <w:sz w:val="15"/>
          <w:vertAlign w:val="superscript"/>
        </w:rPr>
        <w:t>P351</w:t>
      </w:r>
      <w:r>
        <w:t>，因此A不如B符合程序。</w:t>
      </w:r>
    </w:p>
    <w:p>
      <w:pPr>
        <w:spacing w:line="360" w:lineRule="auto" w:after="40"/>
      </w:pPr>
      <w:r>
        <w:rPr>
          <w:b/>
          <w:shd w:fill="D6E4F0" w:val="clear"/>
        </w:rPr>
        <w:t>C项错误：</w:t>
      </w:r>
    </w:p>
    <w:p>
      <w:pPr>
        <w:spacing w:line="360" w:lineRule="auto" w:after="40"/>
      </w:pPr>
      <w:r>
        <w:t>在报告前直接质问被怀疑的同事，可能使潜在调查对象提前察觉、改变行为或毁损证据，也绕过了机构的正式报告和评估程序。教材要求避免向潜在调查对象通风报信</w:t>
      </w:r>
      <w:r>
        <w:rPr>
          <w:sz w:val="15"/>
          <w:vertAlign w:val="superscript"/>
        </w:rPr>
        <w:t>P336</w:t>
      </w:r>
      <w:r>
        <w:t>；但是否构成法律意义上的通风报信，取决于具体法域和案件事实，不能仅凭本题事实直接认定。</w:t>
      </w:r>
    </w:p>
    <w:p>
      <w:pPr>
        <w:spacing w:line="360" w:lineRule="auto" w:after="40"/>
      </w:pPr>
      <w:r>
        <w:rPr>
          <w:b/>
          <w:shd w:fill="D6E4F0" w:val="clear"/>
        </w:rPr>
        <w:t>D项错误：</w:t>
      </w:r>
    </w:p>
    <w:p>
      <w:pPr>
        <w:spacing w:line="360" w:lineRule="auto" w:after="40"/>
      </w:pPr>
      <w:r>
        <w:t>向同事和客户传播尚未核实的诈骗指控，可能造成信息泄露、声誉损害并间接惊动相关人员，也会妨碍机构按照正式程序开展调查。正确做法是先通过举报渠道提交怀疑，由指定合规官评估</w:t>
      </w:r>
      <w:r>
        <w:rPr>
          <w:sz w:val="15"/>
          <w:vertAlign w:val="superscript"/>
        </w:rPr>
        <w:t>P351</w:t>
      </w:r>
      <w:r>
        <w:t>，而不是由举报员工自行对外警告。</w:t>
      </w:r>
    </w:p>
    <w:p>
      <w:pPr>
        <w:spacing w:line="360" w:lineRule="auto" w:after="40"/>
      </w:pPr>
      <w:r>
        <w:rPr>
          <w:b/>
          <w:shd w:fill="D6E4F0" w:val="clear"/>
        </w:rPr>
        <w:t>E项错误：</w:t>
      </w:r>
    </w:p>
    <w:p>
      <w:pPr>
        <w:spacing w:line="360" w:lineRule="auto" w:after="40"/>
      </w:pPr>
      <w:r>
        <w:t>某些机构可能允许员工向直属经理报告，因此该做法并非在所有情况下都错误。但本题明确提供了金融机构的正式举报渠道，该渠道更有利于保密处理，并能把信息交给具有评估职责的指定合规官，因此B优于E。</w:t>
      </w:r>
    </w:p>
    <w:p>
      <w:pPr>
        <w:spacing w:line="360" w:lineRule="auto" w:after="40"/>
      </w:pPr>
      <w:r>
        <w:rPr>
          <w:b/>
          <w:shd w:fill="D6E4F0" w:val="clear"/>
        </w:rPr>
        <w:t>易错提醒：</w:t>
      </w:r>
    </w:p>
    <w:p>
      <w:pPr>
        <w:spacing w:line="360" w:lineRule="auto" w:after="40"/>
      </w:pPr>
      <w:r>
        <w:t>员工发现涉嫌金融犯罪的内部行为后，应“报告而非自行调查或对外扩散”。正式举报渠道负责将信息交给有权限的合规或调查人员</w:t>
      </w:r>
      <w:r>
        <w:rPr>
          <w:sz w:val="15"/>
          <w:vertAlign w:val="superscript"/>
        </w:rPr>
        <w:t>P351</w:t>
      </w:r>
      <w:r>
        <w:t>。需要注意，“惊动相关人员”和法律意义上的“通风报信”并不完全等同；仅凭本题给出的事实，不能直接认定有关行为已经构成某一法域下的刑事通风报信。</w:t>
      </w:r>
    </w:p>
    <w:p>
      <w:pPr>
        <w:spacing w:line="360" w:lineRule="auto" w:after="120"/>
      </w:pPr>
      <w:r/>
    </w:p>
    <w:p>
      <w:pPr>
        <w:spacing w:line="360" w:lineRule="auto" w:after="40"/>
      </w:pPr>
      <w:r>
        <w:t>8. 一名合规官正在处理一起案件，并已确定相关事件无需提交可疑活动报告(SAR)。以下哪两项应包含在案例记录中以证明不提交可疑活动报告(SAR)是合理的？（选择两项。）</w:t>
      </w:r>
    </w:p>
    <w:p>
      <w:pPr>
        <w:spacing w:line="360" w:lineRule="auto" w:after="20"/>
      </w:pPr>
      <w:r>
        <w:t>A.谁做出了不提交可疑活动报告(SAR)的决定</w:t>
      </w:r>
    </w:p>
    <w:p>
      <w:pPr>
        <w:spacing w:line="360" w:lineRule="auto" w:after="20"/>
      </w:pPr>
      <w:r>
        <w:t>B.该合规官为何认为此案不值得提交可疑活动报告(SAR)</w:t>
      </w:r>
    </w:p>
    <w:p>
      <w:pPr>
        <w:spacing w:line="360" w:lineRule="auto" w:after="20"/>
      </w:pPr>
      <w:r>
        <w:t>C.该案件涉及多少金额</w:t>
      </w:r>
    </w:p>
    <w:p>
      <w:pPr>
        <w:spacing w:line="360" w:lineRule="auto" w:after="20"/>
      </w:pPr>
      <w:r>
        <w:t>D.资金在该机构内的流动情况</w:t>
      </w:r>
    </w:p>
    <w:p>
      <w:pPr>
        <w:spacing w:line="360" w:lineRule="auto" w:after="20"/>
      </w:pPr>
      <w:r>
        <w:t>E.异常活动发生的时间</w:t>
      </w:r>
    </w:p>
    <w:p>
      <w:pPr>
        <w:spacing w:line="360" w:lineRule="auto" w:after="40"/>
      </w:pPr>
      <w:r>
        <w:t>答案:A、B</w:t>
      </w:r>
    </w:p>
    <w:p>
      <w:pPr>
        <w:spacing w:line="360" w:lineRule="auto" w:after="40"/>
      </w:pPr>
      <w:r>
        <w:rPr>
          <w:b/>
          <w:shd w:fill="D6E4F0" w:val="clear"/>
        </w:rPr>
        <w:t>解析:</w:t>
      </w:r>
    </w:p>
    <w:p>
      <w:pPr>
        <w:spacing w:line="360" w:lineRule="auto" w:after="40"/>
      </w:pPr>
      <w:r>
        <w:rPr>
          <w:b/>
          <w:shd w:fill="D6E4F0" w:val="clear"/>
        </w:rPr>
        <w:t>考点：</w:t>
      </w:r>
    </w:p>
    <w:p>
      <w:pPr>
        <w:spacing w:line="360" w:lineRule="auto" w:after="40"/>
      </w:pPr>
      <w:r>
        <w:t>不提交 SAR 时案例记录的核心要素</w:t>
      </w:r>
    </w:p>
    <w:p>
      <w:pPr>
        <w:spacing w:line="360" w:lineRule="auto" w:after="40"/>
      </w:pPr>
      <w:r>
        <w:rPr>
          <w:b/>
          <w:shd w:fill="D6E4F0" w:val="clear"/>
        </w:rPr>
        <w:t>核心解析：</w:t>
      </w:r>
    </w:p>
    <w:p>
      <w:pPr>
        <w:spacing w:line="360" w:lineRule="auto" w:after="40"/>
      </w:pPr>
      <w:r>
        <w:t>教材规定，决定不提交 SAR 时，必须详细记录做出该决定的</w:t>
      </w:r>
      <w:r>
        <w:rPr>
          <w:b/>
        </w:rPr>
        <w:t>理由（rationale）</w:t>
      </w:r>
      <w:r>
        <w:t>，包括触发审查的活动描述、分析步骤、决策依据及支持文件，以便监管机构理解该决定</w:t>
      </w:r>
      <w:r>
        <w:rPr>
          <w:sz w:val="15"/>
          <w:vertAlign w:val="superscript"/>
        </w:rPr>
        <w:t>P358</w:t>
      </w:r>
      <w:r>
        <w:t>。同时，</w:t>
      </w:r>
      <w:r>
        <w:rPr>
          <w:b/>
        </w:rPr>
        <w:t>MLRO 或指定官员</w:t>
      </w:r>
      <w:r>
        <w:t>通常负责对 SAR 提交做出最终决定</w:t>
      </w:r>
      <w:r>
        <w:rPr>
          <w:sz w:val="15"/>
          <w:vertAlign w:val="superscript"/>
        </w:rPr>
        <w:t>P346</w:t>
      </w:r>
      <w:r>
        <w:t>。本题中，合规官已做出“无需提交 SAR”的决定，其案例记录（case notes）的核心目的是“证明不提交 SAR 是合理的”（justify not filing a SAR）。要达成这一目的，记录必须回答两个关键问题：</w:t>
      </w:r>
      <w:r>
        <w:rPr>
          <w:b/>
        </w:rPr>
        <w:t>这个决定是谁基于什么理由做出的</w:t>
      </w:r>
      <w:r>
        <w:t xml:space="preserve">。选项 A“谁做的决定”明确了决策主体，选项 B“为何认为不值得提交”涵盖了决策的理由和分析过程，两者组合起来，刚好满足 </w:t>
      </w:r>
      <w:r>
        <w:rPr>
          <w:sz w:val="15"/>
          <w:vertAlign w:val="superscript"/>
        </w:rPr>
        <w:t>P358</w:t>
      </w:r>
      <w:r>
        <w:t xml:space="preserve"> 对“记录不提交 SAR 理由”的规定，同时也呼应了 </w:t>
      </w:r>
      <w:r>
        <w:rPr>
          <w:sz w:val="15"/>
          <w:vertAlign w:val="superscript"/>
        </w:rPr>
        <w:t>P346</w:t>
      </w:r>
      <w:r>
        <w:t xml:space="preserve"> 关于 MLRO 决策职责的要求。</w:t>
      </w:r>
    </w:p>
    <w:p>
      <w:pPr>
        <w:spacing w:line="360" w:lineRule="auto" w:after="40"/>
      </w:pPr>
      <w:r>
        <w:rPr>
          <w:b/>
          <w:shd w:fill="D6E4F0" w:val="clear"/>
        </w:rPr>
        <w:t>错误项分析：</w:t>
      </w:r>
    </w:p>
    <w:p>
      <w:pPr>
        <w:spacing w:line="360" w:lineRule="auto" w:after="40"/>
      </w:pPr>
      <w:r>
        <w:rPr>
          <w:b/>
          <w:shd w:fill="D6E4F0" w:val="clear"/>
        </w:rPr>
        <w:t>C项错误：</w:t>
      </w:r>
    </w:p>
    <w:p>
      <w:pPr>
        <w:spacing w:line="360" w:lineRule="auto" w:after="40"/>
      </w:pPr>
      <w:r>
        <w:t>金额大小是触发审查的原始事实，但题干问的是“证明不提交决定的理由”，而非“案件本身的事实细节”。教材规定的记录要素优先强调决策的推理过程（reasoning），而非孤立的事实数据。</w:t>
      </w:r>
    </w:p>
    <w:p>
      <w:pPr>
        <w:spacing w:line="360" w:lineRule="auto" w:after="40"/>
      </w:pPr>
      <w:r>
        <w:rPr>
          <w:b/>
          <w:shd w:fill="D6E4F0" w:val="clear"/>
        </w:rPr>
        <w:t>D项错误：</w:t>
      </w:r>
    </w:p>
    <w:p>
      <w:pPr>
        <w:spacing w:line="360" w:lineRule="auto" w:after="40"/>
      </w:pPr>
      <w:r>
        <w:t>资金流动情况属于触发审查的“活动描述”，虽可作为记录的支持文件之一</w:t>
      </w:r>
      <w:r>
        <w:rPr>
          <w:sz w:val="15"/>
          <w:vertAlign w:val="superscript"/>
        </w:rPr>
        <w:t>P358</w:t>
      </w:r>
      <w:r>
        <w:t>，但题干聚焦“证明合理性”，决策主体（谁）与推理过程（为何）比单纯描述资金怎么走更直接匹配教材对记录理由的定义。</w:t>
      </w:r>
    </w:p>
    <w:p>
      <w:pPr>
        <w:spacing w:line="360" w:lineRule="auto" w:after="40"/>
      </w:pPr>
      <w:r>
        <w:rPr>
          <w:b/>
          <w:shd w:fill="D6E4F0" w:val="clear"/>
        </w:rPr>
        <w:t>E项错误：</w:t>
      </w:r>
    </w:p>
    <w:p>
      <w:pPr>
        <w:spacing w:line="360" w:lineRule="auto" w:after="40"/>
      </w:pPr>
      <w:r>
        <w:t>异常活动发生的时间是描述触发活动的细节，但同样只描述了“发生了什么”，未涵盖“为何认为无需报告”的决策逻辑。教材对记录的侧重点更在于推理依据，而非时间节点本身。</w:t>
      </w:r>
    </w:p>
    <w:p>
      <w:pPr>
        <w:spacing w:line="360" w:lineRule="auto" w:after="40"/>
      </w:pPr>
      <w:r>
        <w:rPr>
          <w:b/>
          <w:shd w:fill="D6E4F0" w:val="clear"/>
        </w:rPr>
        <w:t>易错提醒：</w:t>
      </w:r>
    </w:p>
    <w:p>
      <w:pPr>
        <w:spacing w:line="360" w:lineRule="auto" w:after="40"/>
      </w:pPr>
      <w:r>
        <w:t>容易把“案件事实”和“决策理由”混为一谈。金额、时间、资金路径是案件调查中收集的原始事实，而记录的重点在于说明基于这些事实得出了什么结论、以及为什么得出这个结论。教材用“rationale”和“reasoning”强调记录的是思维过程，而非事实清单</w:t>
      </w:r>
      <w:r>
        <w:rPr>
          <w:sz w:val="15"/>
          <w:vertAlign w:val="superscript"/>
        </w:rPr>
        <w:t>P358</w:t>
      </w:r>
      <w:r>
        <w:t>。</w:t>
      </w:r>
    </w:p>
    <w:p>
      <w:pPr>
        <w:spacing w:line="360" w:lineRule="auto" w:after="120"/>
      </w:pPr>
      <w:r/>
    </w:p>
    <w:p>
      <w:pPr>
        <w:spacing w:line="360" w:lineRule="auto" w:after="40"/>
      </w:pPr>
      <w:r>
        <w:t>9. 根据金融犯罪执法网络(FinCEN)的规定,当金融机构(FI)发现需要提交可疑活动报告(SAR)的可疑活动时,SAR的支持性文件应（选择两项。）.</w:t>
      </w:r>
    </w:p>
    <w:p>
      <w:pPr>
        <w:spacing w:line="360" w:lineRule="auto" w:after="20"/>
      </w:pPr>
      <w:r>
        <w:t>A.包括所有协助FI作出该活动需要提交申报这一决定的文件或记录.</w:t>
      </w:r>
    </w:p>
    <w:p>
      <w:pPr>
        <w:spacing w:line="360" w:lineRule="auto" w:after="20"/>
      </w:pPr>
      <w:r>
        <w:t>B.始终仅限于账户名称、账户详情和交易记录.</w:t>
      </w:r>
    </w:p>
    <w:p>
      <w:pPr>
        <w:spacing w:line="360" w:lineRule="auto" w:after="20"/>
      </w:pPr>
      <w:r>
        <w:t>C.制定了维护支持性文件的政策和程序.</w:t>
      </w:r>
    </w:p>
    <w:p>
      <w:pPr>
        <w:spacing w:line="360" w:lineRule="auto" w:after="20"/>
      </w:pPr>
      <w:r>
        <w:t>D.保存在一个单独的文件中,并将纸质副本存放在防火柜里.</w:t>
      </w:r>
    </w:p>
    <w:p>
      <w:pPr>
        <w:spacing w:line="360" w:lineRule="auto" w:after="40"/>
      </w:pPr>
      <w:r>
        <w:t>答案:A、C</w:t>
      </w:r>
    </w:p>
    <w:p>
      <w:pPr>
        <w:spacing w:line="360" w:lineRule="auto" w:after="40"/>
      </w:pPr>
      <w:r>
        <w:rPr>
          <w:b/>
          <w:shd w:fill="D6E4F0" w:val="clear"/>
        </w:rPr>
        <w:t>解析:</w:t>
      </w:r>
    </w:p>
    <w:p>
      <w:pPr>
        <w:spacing w:line="360" w:lineRule="auto" w:after="40"/>
      </w:pPr>
      <w:r>
        <w:rPr>
          <w:b/>
          <w:shd w:fill="D6E4F0" w:val="clear"/>
        </w:rPr>
        <w:t>考点：</w:t>
      </w:r>
    </w:p>
    <w:p>
      <w:pPr>
        <w:spacing w:line="360" w:lineRule="auto" w:after="40"/>
      </w:pPr>
      <w:r>
        <w:rPr>
          <w:b/>
        </w:rPr>
        <w:t>SAR 支持性文件的合规范围与政策要求</w:t>
      </w:r>
    </w:p>
    <w:p>
      <w:pPr>
        <w:spacing w:line="360" w:lineRule="auto" w:after="40"/>
      </w:pPr>
      <w:r>
        <w:rPr>
          <w:b/>
          <w:shd w:fill="D6E4F0" w:val="clear"/>
        </w:rPr>
        <w:t>核心解析：</w:t>
      </w:r>
    </w:p>
    <w:p>
      <w:pPr>
        <w:spacing w:line="360" w:lineRule="auto" w:after="40"/>
      </w:pPr>
      <w:r>
        <w:t>教材要求，SAR 应包含客户信息、机构服务、交易活动、怀疑理由及任何支持性证据</w:t>
      </w:r>
      <w:r>
        <w:rPr>
          <w:sz w:val="15"/>
          <w:vertAlign w:val="superscript"/>
        </w:rPr>
        <w:t>P353</w:t>
      </w:r>
      <w:r>
        <w:t>。同时，在作出是否提交 SAR 的风险决策时，必须彻底记录调查发现及决策理由</w:t>
      </w:r>
      <w:r>
        <w:rPr>
          <w:sz w:val="15"/>
          <w:vertAlign w:val="superscript"/>
        </w:rPr>
        <w:t>P358</w:t>
      </w:r>
      <w:r>
        <w:t>。据此，题干问 SAR 支持性文件“应”如何，核心指向两个层面：一是范围上，</w:t>
      </w:r>
      <w:r>
        <w:rPr>
          <w:b/>
        </w:rPr>
        <w:t>所有协助作出提交决定的文件或记录都应纳入</w:t>
      </w:r>
      <w:r>
        <w:t>——对应选项 A；二是制度上，机构必须有</w:t>
      </w:r>
      <w:r>
        <w:rPr>
          <w:b/>
        </w:rPr>
        <w:t>维护这些文件的书面政策和程序</w:t>
      </w:r>
      <w:r>
        <w:t>——对应选项 C。二者共同反映了 FinCEN 对 SAR 文件完整性及流程规范性的双重要求。</w:t>
      </w:r>
    </w:p>
    <w:p>
      <w:pPr>
        <w:spacing w:line="360" w:lineRule="auto" w:after="40"/>
      </w:pPr>
      <w:r>
        <w:rPr>
          <w:b/>
          <w:shd w:fill="D6E4F0" w:val="clear"/>
        </w:rPr>
        <w:t>教材原句：</w:t>
      </w:r>
    </w:p>
    <w:p>
      <w:pPr>
        <w:spacing w:line="360" w:lineRule="auto" w:after="40"/>
      </w:pPr>
      <w:r>
        <w:t>"You should include information about the customer, services offered by the institution, transaction activity, rationale for suspicions, and any supporting evidence."</w:t>
      </w:r>
    </w:p>
    <w:p>
      <w:pPr>
        <w:spacing w:line="360" w:lineRule="auto" w:after="40"/>
      </w:pPr>
      <w:r>
        <w:rPr>
          <w:b/>
          <w:shd w:fill="D6E4F0" w:val="clear"/>
        </w:rPr>
        <w:t>错误项分析：</w:t>
      </w:r>
    </w:p>
    <w:p>
      <w:pPr>
        <w:spacing w:line="360" w:lineRule="auto" w:after="40"/>
      </w:pPr>
      <w:r>
        <w:rPr>
          <w:b/>
          <w:shd w:fill="D6E4F0" w:val="clear"/>
        </w:rPr>
        <w:t>B项错误：</w:t>
      </w:r>
    </w:p>
    <w:p>
      <w:pPr>
        <w:spacing w:line="360" w:lineRule="auto" w:after="40"/>
      </w:pPr>
      <w:r>
        <w:t>教材列举的 SAR 内容远不止账户名称、账户详情和交易记录，还包括怀疑理由及任何支持证据</w:t>
      </w:r>
      <w:r>
        <w:rPr>
          <w:sz w:val="15"/>
          <w:vertAlign w:val="superscript"/>
        </w:rPr>
        <w:t>P353</w:t>
      </w:r>
      <w:r>
        <w:t>。选项 B 用“Always be limited to”将文件范围锁定为三项，与教材“any supporting evidence”的开放表述矛盾。题干问的是支持性文件的合规范围，教材更直接支持 A 的全口径要求而非 B 的限定清单。</w:t>
      </w:r>
    </w:p>
    <w:p>
      <w:pPr>
        <w:spacing w:line="360" w:lineRule="auto" w:after="40"/>
      </w:pPr>
      <w:r>
        <w:rPr>
          <w:b/>
          <w:shd w:fill="D6E4F0" w:val="clear"/>
        </w:rPr>
        <w:t>D项错误：</w:t>
      </w:r>
    </w:p>
    <w:p>
      <w:pPr>
        <w:spacing w:line="360" w:lineRule="auto" w:after="40"/>
      </w:pPr>
      <w:r>
        <w:t>教材要求文档按照机构的记录保留政策保存（如 PDF、打印件等形式）</w:t>
      </w:r>
      <w:r>
        <w:rPr>
          <w:sz w:val="15"/>
          <w:vertAlign w:val="superscript"/>
        </w:rPr>
        <w:t>P345</w:t>
      </w:r>
      <w:r>
        <w:t>，并要求妥善安全存储以遵守隐私法和数据安全要求</w:t>
      </w:r>
      <w:r>
        <w:rPr>
          <w:sz w:val="15"/>
          <w:vertAlign w:val="superscript"/>
        </w:rPr>
        <w:t>P345</w:t>
      </w:r>
      <w:r>
        <w:t>，但未指定“单独文件”或“防火柜”等具体物理形式。选项 D 将合规性落脚于特定存储安排，而题干更直接匹配 A 的内容范围和 C 的制度程序要求。</w:t>
      </w:r>
    </w:p>
    <w:sectPr w:rsidR="00797F96" w:rsidSect="007705BD">
      <w:pgSz w:w="11900" w:h="16840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2130425" w14:textId="77777777" w:rsidR="00D502DB" w:rsidRDefault="00D502DB" w:rsidP="004B1ED1">
      <w:r>
        <w:separator/>
      </w:r>
    </w:p>
  </w:endnote>
  <w:endnote w:type="continuationSeparator" w:id="0">
    <w:p w14:paraId="6CC9F455" w14:textId="77777777" w:rsidR="00D502DB" w:rsidRDefault="00D502DB" w:rsidP="004B1ED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EC92F4B" w14:textId="77777777" w:rsidR="00D502DB" w:rsidRDefault="00D502DB" w:rsidP="004B1ED1">
      <w:r>
        <w:separator/>
      </w:r>
    </w:p>
  </w:footnote>
  <w:footnote w:type="continuationSeparator" w:id="0">
    <w:p w14:paraId="68C42F1C" w14:textId="77777777" w:rsidR="00D502DB" w:rsidRDefault="00D502DB" w:rsidP="004B1ED1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bordersDoNotSurroundHeader/>
  <w:bordersDoNotSurroundFooter/>
  <w:defaultTabStop w:val="420"/>
  <w:drawingGridVerticalSpacing w:val="20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644CB"/>
    <w:rsid w:val="00010147"/>
    <w:rsid w:val="00033C1A"/>
    <w:rsid w:val="00040102"/>
    <w:rsid w:val="000D33A7"/>
    <w:rsid w:val="000F230C"/>
    <w:rsid w:val="000F78D0"/>
    <w:rsid w:val="00131228"/>
    <w:rsid w:val="001462D8"/>
    <w:rsid w:val="0015668A"/>
    <w:rsid w:val="00177DC7"/>
    <w:rsid w:val="001A7D92"/>
    <w:rsid w:val="002077A3"/>
    <w:rsid w:val="00220F69"/>
    <w:rsid w:val="002B050E"/>
    <w:rsid w:val="0033201A"/>
    <w:rsid w:val="0033318A"/>
    <w:rsid w:val="003607DA"/>
    <w:rsid w:val="00367F68"/>
    <w:rsid w:val="00435F1E"/>
    <w:rsid w:val="00474E2F"/>
    <w:rsid w:val="00483F5C"/>
    <w:rsid w:val="004962E1"/>
    <w:rsid w:val="004A749E"/>
    <w:rsid w:val="004B1ED1"/>
    <w:rsid w:val="00526572"/>
    <w:rsid w:val="00573E0A"/>
    <w:rsid w:val="005A2A6F"/>
    <w:rsid w:val="005A7BEF"/>
    <w:rsid w:val="005D7D77"/>
    <w:rsid w:val="00607874"/>
    <w:rsid w:val="00646B58"/>
    <w:rsid w:val="0072289C"/>
    <w:rsid w:val="00745570"/>
    <w:rsid w:val="00753BC4"/>
    <w:rsid w:val="007705BD"/>
    <w:rsid w:val="00797F96"/>
    <w:rsid w:val="007D7360"/>
    <w:rsid w:val="007E7BE2"/>
    <w:rsid w:val="007F09BD"/>
    <w:rsid w:val="00837539"/>
    <w:rsid w:val="008644CB"/>
    <w:rsid w:val="008C76EC"/>
    <w:rsid w:val="008D6C8E"/>
    <w:rsid w:val="009E4018"/>
    <w:rsid w:val="00A13FA3"/>
    <w:rsid w:val="00A167EC"/>
    <w:rsid w:val="00A215D8"/>
    <w:rsid w:val="00B12FCC"/>
    <w:rsid w:val="00BF7B5A"/>
    <w:rsid w:val="00C67B09"/>
    <w:rsid w:val="00CA03E7"/>
    <w:rsid w:val="00CA0B43"/>
    <w:rsid w:val="00CC049E"/>
    <w:rsid w:val="00D502DB"/>
    <w:rsid w:val="00D935DD"/>
    <w:rsid w:val="00DA5DA4"/>
    <w:rsid w:val="00E13904"/>
    <w:rsid w:val="00E176BA"/>
    <w:rsid w:val="00E26F44"/>
    <w:rsid w:val="00E429AB"/>
    <w:rsid w:val="00E63479"/>
    <w:rsid w:val="00EC4A51"/>
    <w:rsid w:val="00EE0B23"/>
    <w:rsid w:val="00F52D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2ED38201"/>
  <w14:defaultImageDpi w14:val="330"/>
  <w15:chartTrackingRefBased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Revision"/>
    <w:hidden/>
    <w:uiPriority w:val="99"/>
    <w:semiHidden/>
    <w:rsid w:val="008644CB"/>
  </w:style>
  <w:style w:type="character" w:styleId="a4">
    <w:name w:val="annotation reference"/>
    <w:basedOn w:val="a0"/>
    <w:uiPriority w:val="99"/>
    <w:semiHidden/>
    <w:unhideWhenUsed/>
    <w:rsid w:val="00CA0B43"/>
    <w:rPr>
      <w:sz w:val="21"/>
      <w:szCs w:val="21"/>
    </w:rPr>
  </w:style>
  <w:style w:type="paragraph" w:styleId="a5">
    <w:name w:val="annotation text"/>
    <w:basedOn w:val="a"/>
    <w:link w:val="a6"/>
    <w:uiPriority w:val="99"/>
    <w:semiHidden/>
    <w:unhideWhenUsed/>
    <w:rsid w:val="00CA0B43"/>
    <w:pPr>
      <w:jc w:val="left"/>
    </w:pPr>
  </w:style>
  <w:style w:type="character" w:customStyle="1" w:styleId="a6">
    <w:name w:val="批注文字 字符"/>
    <w:basedOn w:val="a0"/>
    <w:link w:val="a5"/>
    <w:uiPriority w:val="99"/>
    <w:semiHidden/>
    <w:rsid w:val="00CA0B43"/>
  </w:style>
  <w:style w:type="paragraph" w:styleId="a7">
    <w:name w:val="annotation subject"/>
    <w:basedOn w:val="a5"/>
    <w:next w:val="a5"/>
    <w:link w:val="a8"/>
    <w:uiPriority w:val="99"/>
    <w:semiHidden/>
    <w:unhideWhenUsed/>
    <w:rsid w:val="00CA0B43"/>
    <w:rPr>
      <w:b/>
      <w:bCs/>
    </w:rPr>
  </w:style>
  <w:style w:type="character" w:customStyle="1" w:styleId="a8">
    <w:name w:val="批注主题 字符"/>
    <w:basedOn w:val="a6"/>
    <w:link w:val="a7"/>
    <w:uiPriority w:val="99"/>
    <w:semiHidden/>
    <w:rsid w:val="00CA0B43"/>
    <w:rPr>
      <w:b/>
      <w:bCs/>
    </w:rPr>
  </w:style>
  <w:style w:type="paragraph" w:styleId="a9">
    <w:name w:val="Balloon Text"/>
    <w:basedOn w:val="a"/>
    <w:link w:val="aa"/>
    <w:uiPriority w:val="99"/>
    <w:semiHidden/>
    <w:unhideWhenUsed/>
    <w:rsid w:val="00CA0B43"/>
    <w:rPr>
      <w:rFonts w:ascii="宋体" w:eastAsia="宋体"/>
      <w:sz w:val="18"/>
      <w:szCs w:val="18"/>
    </w:rPr>
  </w:style>
  <w:style w:type="character" w:customStyle="1" w:styleId="aa">
    <w:name w:val="批注框文本 字符"/>
    <w:basedOn w:val="a0"/>
    <w:link w:val="a9"/>
    <w:uiPriority w:val="99"/>
    <w:semiHidden/>
    <w:rsid w:val="00CA0B43"/>
    <w:rPr>
      <w:rFonts w:ascii="宋体" w:eastAsia="宋体"/>
      <w:sz w:val="18"/>
      <w:szCs w:val="18"/>
    </w:rPr>
  </w:style>
  <w:style w:type="paragraph" w:styleId="ab">
    <w:name w:val="Document Map"/>
    <w:basedOn w:val="a"/>
    <w:link w:val="ac"/>
    <w:uiPriority w:val="99"/>
    <w:semiHidden/>
    <w:unhideWhenUsed/>
    <w:rsid w:val="00797F96"/>
    <w:rPr>
      <w:rFonts w:ascii="宋体" w:eastAsia="宋体"/>
    </w:rPr>
  </w:style>
  <w:style w:type="character" w:customStyle="1" w:styleId="ac">
    <w:name w:val="文档结构图 字符"/>
    <w:basedOn w:val="a0"/>
    <w:link w:val="ab"/>
    <w:uiPriority w:val="99"/>
    <w:semiHidden/>
    <w:rsid w:val="00797F96"/>
    <w:rPr>
      <w:rFonts w:ascii="宋体" w:eastAsia="宋体"/>
    </w:rPr>
  </w:style>
  <w:style w:type="table" w:styleId="ad">
    <w:name w:val="Table Grid"/>
    <w:basedOn w:val="a1"/>
    <w:uiPriority w:val="39"/>
    <w:rsid w:val="00797F9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e">
    <w:name w:val="header"/>
    <w:basedOn w:val="a"/>
    <w:link w:val="af"/>
    <w:uiPriority w:val="99"/>
    <w:unhideWhenUsed/>
    <w:rsid w:val="004B1ED1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4B1ED1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4B1ED1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4B1ED1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">
  <a:themeElements>
    <a:clrScheme name="办公室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办公室">
      <a:majorFont>
        <a:latin typeface="DengXian Light" panose="020F0302020204030204"/>
        <a:ea typeface=""/>
        <a:cs typeface=""/>
        <a:font script="Jpan" typeface="ＭＳ ゴシック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DengXian" panose="020F0502020204030204"/>
        <a:ea typeface=""/>
        <a:cs typeface=""/>
        <a:font script="Jpan" typeface="ＭＳ 明朝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办公室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3</Pages>
  <Words>320</Words>
  <Characters>1827</Characters>
  <Application>Microsoft Office Word</Application>
  <DocSecurity>0</DocSecurity>
  <Lines>15</Lines>
  <Paragraphs>4</Paragraphs>
  <ScaleCrop>false</ScaleCrop>
  <Company/>
  <LinksUpToDate>false</LinksUpToDate>
  <CharactersWithSpaces>2143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love980</dc:creator>
  <cp:keywords/>
  <dc:description/>
  <cp:lastModifiedBy>8613849083012</cp:lastModifiedBy>
  <cp:revision>54</cp:revision>
  <dcterms:created xsi:type="dcterms:W3CDTF">2017-05-14T09:31:00Z</dcterms:created>
  <dcterms:modified xsi:type="dcterms:W3CDTF">2021-12-30T09:44:00Z</dcterms:modified>
</cp:coreProperties>
</file>