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CH12</w:t>
      </w:r>
    </w:p>
    <w:p>
      <w:pPr>
        <w:spacing w:line="360" w:lineRule="auto" w:after="160"/>
      </w:pPr>
      <w:r>
        <w:t>一、单项选择题</w:t>
      </w:r>
    </w:p>
    <w:p>
      <w:pPr>
        <w:spacing w:line="360" w:lineRule="auto" w:after="40"/>
      </w:pPr>
      <w:r>
        <w:t>1. 一家银行收到了一份针对其某位客户的传票.该银行的金融情报部门应当审查这份传票,并:</w:t>
      </w:r>
    </w:p>
    <w:p>
      <w:pPr>
        <w:spacing w:line="360" w:lineRule="auto" w:after="20"/>
      </w:pPr>
      <w:r>
        <w:t>A.通过告知客户传票一事来关闭客户的账户.</w:t>
      </w:r>
    </w:p>
    <w:p>
      <w:pPr>
        <w:spacing w:line="360" w:lineRule="auto" w:after="20"/>
      </w:pPr>
      <w:r>
        <w:t>B.进行交易审查并全面回应传票.</w:t>
      </w:r>
    </w:p>
    <w:p>
      <w:pPr>
        <w:spacing w:line="360" w:lineRule="auto" w:after="20"/>
      </w:pPr>
      <w:r>
        <w:t>C.提交可疑活动报告(SAR),并在报告叙述中包含收到传票的情况.</w:t>
      </w:r>
    </w:p>
    <w:p>
      <w:pPr>
        <w:spacing w:line="360" w:lineRule="auto" w:after="20"/>
      </w:pPr>
      <w:r>
        <w:t>D.调整客户的风险评分并结案</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传票触发审查与回应义务，但不自动触发可疑活动报告</w:t>
      </w:r>
    </w:p>
    <w:p>
      <w:pPr>
        <w:spacing w:line="360" w:lineRule="auto" w:after="40"/>
      </w:pPr>
      <w:r>
        <w:rPr>
          <w:b/>
          <w:shd w:fill="D6E4F0" w:val="clear"/>
        </w:rPr>
        <w:t>核心解析：</w:t>
      </w:r>
    </w:p>
    <w:p>
      <w:pPr>
        <w:spacing w:line="360" w:lineRule="auto" w:after="40"/>
      </w:pPr>
      <w:r>
        <w:t>金融机构有义务回应金融情报机构和执法机构关于</w:t>
      </w:r>
      <w:r>
        <w:rPr>
          <w:b/>
        </w:rPr>
        <w:t>交易和账户所有权的信息请求</w:t>
      </w:r>
      <w:r>
        <w:rPr>
          <w:sz w:val="15"/>
          <w:vertAlign w:val="superscript"/>
        </w:rPr>
        <w:t>P362</w:t>
      </w:r>
      <w:r>
        <w:t>。收到执法请求后，金融机构应进行初步评估</w:t>
      </w:r>
      <w:r>
        <w:rPr>
          <w:sz w:val="15"/>
          <w:vertAlign w:val="superscript"/>
        </w:rPr>
        <w:t>P362</w:t>
      </w:r>
      <w:r>
        <w:t>。收到传票等法律令状会触发客户审查，但</w:t>
      </w:r>
      <w:r>
        <w:rPr>
          <w:b/>
        </w:rPr>
        <w:t>不会自动导致提交可疑活动报告</w:t>
      </w:r>
      <w:r>
        <w:t>，因为可能缺乏足够的支持信息</w:t>
      </w:r>
      <w:r>
        <w:rPr>
          <w:sz w:val="15"/>
          <w:vertAlign w:val="superscript"/>
        </w:rPr>
        <w:t>P357</w:t>
      </w:r>
      <w:r>
        <w:t>。题干中银行收到涉及客户的传票，金融情报部门在审查该传票后，应当执行交易审查并全面回应，这直接符合教材对回应执法请求的要求。</w:t>
      </w:r>
    </w:p>
    <w:p>
      <w:pPr>
        <w:spacing w:line="360" w:lineRule="auto" w:after="40"/>
      </w:pPr>
      <w:r>
        <w:rPr>
          <w:b/>
          <w:shd w:fill="D6E4F0" w:val="clear"/>
        </w:rPr>
        <w:t>教材原句：</w:t>
      </w:r>
    </w:p>
    <w:p>
      <w:pPr>
        <w:spacing w:line="360" w:lineRule="auto" w:after="40"/>
      </w:pPr>
      <w:r>
        <w:t>"Financial institutions (FI) are routinely required to respond to requests from FIUs and law enforcement for more information on transactions and account ownership."</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执法机构可能要求金融机构保持账户开放并监控以协助调查</w:t>
      </w:r>
      <w:r>
        <w:rPr>
          <w:sz w:val="15"/>
          <w:vertAlign w:val="superscript"/>
        </w:rPr>
        <w:t>P362</w:t>
      </w:r>
      <w:r>
        <w:t>，且涉及可疑活动终止时应注意不得通风报信</w:t>
      </w:r>
      <w:r>
        <w:rPr>
          <w:sz w:val="15"/>
          <w:vertAlign w:val="superscript"/>
        </w:rPr>
        <w:t>P364</w:t>
      </w:r>
      <w:r>
        <w:t>。直接关闭账户并告知客户传票与保密要求和回应义务不直接匹配，不如B项的交易审查和回应更符合常规处置。</w:t>
      </w:r>
    </w:p>
    <w:p>
      <w:pPr>
        <w:spacing w:line="360" w:lineRule="auto" w:after="40"/>
      </w:pPr>
      <w:r>
        <w:rPr>
          <w:b/>
          <w:shd w:fill="D6E4F0" w:val="clear"/>
        </w:rPr>
        <w:t>C项错误：</w:t>
      </w:r>
    </w:p>
    <w:p>
      <w:pPr>
        <w:spacing w:line="360" w:lineRule="auto" w:after="40"/>
      </w:pPr>
      <w:r>
        <w:t>教材明确传票不自动导致提交可疑活动报告</w:t>
      </w:r>
      <w:r>
        <w:rPr>
          <w:sz w:val="15"/>
          <w:vertAlign w:val="superscript"/>
        </w:rPr>
        <w:t>P357</w:t>
      </w:r>
      <w:r>
        <w:t>，提交报告需要实际的可疑活动证据。选项C将收到传票直接等同于应提交报告并纳入叙述，与教材的“不自动触发”原则相比，匹配度不如B项的先审查再回应。</w:t>
      </w:r>
    </w:p>
    <w:p>
      <w:pPr>
        <w:spacing w:line="360" w:lineRule="auto" w:after="40"/>
      </w:pPr>
      <w:r>
        <w:rPr>
          <w:b/>
          <w:shd w:fill="D6E4F0" w:val="clear"/>
        </w:rPr>
        <w:t>D项错误：</w:t>
      </w:r>
    </w:p>
    <w:p>
      <w:pPr>
        <w:spacing w:line="360" w:lineRule="auto" w:after="40"/>
      </w:pPr>
      <w:r>
        <w:t>收到传票后，金融机构的首要义务是进行评估和回应</w:t>
      </w:r>
      <w:r>
        <w:rPr>
          <w:sz w:val="15"/>
          <w:vertAlign w:val="superscript"/>
        </w:rPr>
        <w:t>P362</w:t>
      </w:r>
      <w:r>
        <w:t>，调整风险评分和结案属于后续可能步骤，并非收悉法律令状时的直接处理方式，因此这与题干要求的审查行动匹配度低于B。</w:t>
      </w:r>
    </w:p>
    <w:p>
      <w:pPr>
        <w:spacing w:line="360" w:lineRule="auto" w:after="40"/>
      </w:pPr>
      <w:r>
        <w:rPr>
          <w:b/>
          <w:shd w:fill="D6E4F0" w:val="clear"/>
        </w:rPr>
        <w:t>易错提醒：</w:t>
      </w:r>
    </w:p>
    <w:p>
      <w:pPr>
        <w:spacing w:line="360" w:lineRule="auto" w:after="40"/>
      </w:pPr>
      <w:r>
        <w:t>收到传票与提交可疑活动报告容易混淆。传票是执法机构要求提供信息的正式请求，触发的是审查与回应义务</w:t>
      </w:r>
      <w:r>
        <w:rPr>
          <w:sz w:val="15"/>
          <w:vertAlign w:val="superscript"/>
        </w:rPr>
        <w:t>P362</w:t>
      </w:r>
      <w:r>
        <w:t>；可疑活动报告基于可疑活动的证据，传票本身不构成可疑活动</w:t>
      </w:r>
      <w:r>
        <w:rPr>
          <w:sz w:val="15"/>
          <w:vertAlign w:val="superscript"/>
        </w:rPr>
        <w:t>P357</w:t>
      </w:r>
      <w:r>
        <w:t>。若无其他可疑迹象，仅凭传票不足以触发报告义务。</w:t>
      </w:r>
    </w:p>
    <w:p>
      <w:pPr>
        <w:spacing w:line="360" w:lineRule="auto" w:after="120"/>
      </w:pPr>
      <w:r/>
    </w:p>
    <w:p>
      <w:pPr>
        <w:spacing w:line="360" w:lineRule="auto" w:after="40"/>
      </w:pPr>
      <w:r>
        <w:t>2. 一家金融机构的美国分行收到执法部门发出的传票，要求提供某客户账户活动的详细记录。该客户正因涉嫌洗钱活动而处于调查之中。与此同时，该机构还收到了另一家银行根据美国金融犯罪执法网络 314(b) 信息共享计划发出的信息共享请求，要求提供与该客户有关的交易详情。合规团队负责回应这两项请求。合规官在回应这些请求时应优先考虑哪些事项，同时确保满足所有法律和监管义务？</w:t>
      </w:r>
    </w:p>
    <w:p>
      <w:pPr>
        <w:spacing w:line="360" w:lineRule="auto" w:after="20"/>
      </w:pPr>
      <w:r>
        <w:t>A.在回复之前，将其他金融机构的信息共享请求告知客户并征得其同意</w:t>
      </w:r>
    </w:p>
    <w:p>
      <w:pPr>
        <w:spacing w:line="360" w:lineRule="auto" w:after="20"/>
      </w:pPr>
      <w:r>
        <w:t>B.咨询机构的法律顾问以确认传票的有效性，然后直接向执法部门作出回应，同时确保所有文件都得到妥善记录。</w:t>
      </w:r>
    </w:p>
    <w:p>
      <w:pPr>
        <w:spacing w:line="360" w:lineRule="auto" w:after="20"/>
      </w:pPr>
      <w:r>
        <w:t>C.首先回应 FinCEN 314(b) 请求，因为这允许与合作机构自愿共享信息</w:t>
      </w:r>
    </w:p>
    <w:p>
      <w:pPr>
        <w:spacing w:line="360" w:lineRule="auto" w:after="20"/>
      </w:pPr>
      <w:r>
        <w:t>D.立即向执法部门和另一家金融机构提供所请求的记录，以确保全面合作和透明度</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执法请求与信息共享请求并存时的响应优先级</w:t>
      </w:r>
    </w:p>
    <w:p>
      <w:pPr>
        <w:spacing w:line="360" w:lineRule="auto" w:after="40"/>
      </w:pPr>
      <w:r>
        <w:rPr>
          <w:b/>
          <w:shd w:fill="D6E4F0" w:val="clear"/>
        </w:rPr>
        <w:t>核心解析：</w:t>
      </w:r>
    </w:p>
    <w:p>
      <w:pPr>
        <w:spacing w:line="360" w:lineRule="auto" w:after="40"/>
      </w:pPr>
      <w:r>
        <w:t>根据教材，收到执法请求（如传票）后，金融机构应首先进行</w:t>
      </w:r>
      <w:r>
        <w:rPr>
          <w:b/>
        </w:rPr>
        <w:t>初步评估</w:t>
      </w:r>
      <w:r>
        <w:t>，理解请求的合法性、紧迫性和相关性</w:t>
      </w:r>
      <w:r>
        <w:rPr>
          <w:sz w:val="15"/>
          <w:vertAlign w:val="superscript"/>
        </w:rPr>
        <w:t>P362</w:t>
      </w:r>
      <w:r>
        <w:t>。同时，指定官员必须与法律团队建立有效关系，以确保透明度和问责制并缩短响应时间</w:t>
      </w:r>
      <w:r>
        <w:rPr>
          <w:sz w:val="15"/>
          <w:vertAlign w:val="superscript"/>
        </w:rPr>
        <w:t>P362</w:t>
      </w:r>
      <w:r>
        <w:t>。题干中，合规官同时收到执法传票和314(b)信息共享请求。传票代表</w:t>
      </w:r>
      <w:r>
        <w:rPr>
          <w:b/>
        </w:rPr>
        <w:t>强制性的法律义务</w:t>
      </w:r>
      <w:r>
        <w:t>，必须优先处理；314(b)请求允许金融机构间自愿共享信息</w:t>
      </w:r>
      <w:r>
        <w:rPr>
          <w:sz w:val="15"/>
          <w:vertAlign w:val="superscript"/>
        </w:rPr>
        <w:t>P239</w:t>
      </w:r>
      <w:r>
        <w:t>，但并非强制性义务。因此，合规官应先咨询法律顾问确认传票有效性，再直接回应执法部门，而非优先回应314(b)请求或立即提供所有记录。回应过程中，每一步都应有良好记录以证明合规</w:t>
      </w:r>
      <w:r>
        <w:rPr>
          <w:sz w:val="15"/>
          <w:vertAlign w:val="superscript"/>
        </w:rPr>
        <w:t>P457</w:t>
      </w:r>
      <w:r>
        <w:t>。这一流程最符合教材规定的初步评估义务和与法律顾问协作的职责要求。</w:t>
      </w:r>
    </w:p>
    <w:p>
      <w:pPr>
        <w:spacing w:line="360" w:lineRule="auto" w:after="40"/>
      </w:pPr>
      <w:r>
        <w:rPr>
          <w:b/>
          <w:shd w:fill="D6E4F0" w:val="clear"/>
        </w:rPr>
        <w:t>教材原句：</w:t>
      </w:r>
    </w:p>
    <w:p>
      <w:pPr>
        <w:spacing w:line="360" w:lineRule="auto" w:after="40"/>
      </w:pPr>
      <w:r>
        <w:t>"Upon receipt of a law enforcement request, the FI should make an initial assessment."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FinCEN 314(b)信息共享的本质是允许金融机构在不告知客户的情况下自愿共享交易信息，教材将其描述为提供“安全港”的机制</w:t>
      </w:r>
      <w:r>
        <w:rPr>
          <w:sz w:val="15"/>
          <w:vertAlign w:val="superscript"/>
        </w:rPr>
        <w:t>P239</w:t>
      </w:r>
      <w:r>
        <w:t>。告知客户并征得同意反而可能违反保密义务，且与314(b)计划的运作逻辑不符。题干中客户正因洗钱被调查，告知客户显然不合时宜。</w:t>
      </w:r>
    </w:p>
    <w:p>
      <w:pPr>
        <w:spacing w:line="360" w:lineRule="auto" w:after="40"/>
      </w:pPr>
      <w:r>
        <w:rPr>
          <w:b/>
          <w:shd w:fill="D6E4F0" w:val="clear"/>
        </w:rPr>
        <w:t>C项错误：</w:t>
      </w:r>
    </w:p>
    <w:p>
      <w:pPr>
        <w:spacing w:line="360" w:lineRule="auto" w:after="40"/>
      </w:pPr>
      <w:r>
        <w:t>314(b)请求允许金融机构间自愿共享信息，但它是辅助性的合规工具，优先程度低于具有法律强制力的传票。教材规定收到执法请求后，机构的初步评估应聚焦于理解该请求的合法性、紧迫性和相关性</w:t>
      </w:r>
      <w:r>
        <w:rPr>
          <w:sz w:val="15"/>
          <w:vertAlign w:val="superscript"/>
        </w:rPr>
        <w:t>P362</w:t>
      </w:r>
      <w:r>
        <w:t>，而非优先处置自愿共享机制。题干更直接支持先通过法律顾问处理传票的思路。</w:t>
      </w:r>
    </w:p>
    <w:p>
      <w:pPr>
        <w:spacing w:line="360" w:lineRule="auto" w:after="40"/>
      </w:pPr>
      <w:r>
        <w:rPr>
          <w:b/>
          <w:shd w:fill="D6E4F0" w:val="clear"/>
        </w:rPr>
        <w:t>D项错误：</w:t>
      </w:r>
    </w:p>
    <w:p>
      <w:pPr>
        <w:spacing w:line="360" w:lineRule="auto" w:after="40"/>
      </w:pPr>
      <w:r>
        <w:t>教材要求对执法请求先进行初步评估</w:t>
      </w:r>
      <w:r>
        <w:rPr>
          <w:sz w:val="15"/>
          <w:vertAlign w:val="superscript"/>
        </w:rPr>
        <w:t>P362</w:t>
      </w:r>
      <w:r>
        <w:t>，且机构有义务协调活动以维护信息的保密性和完整性</w:t>
      </w:r>
      <w:r>
        <w:rPr>
          <w:sz w:val="15"/>
          <w:vertAlign w:val="superscript"/>
        </w:rPr>
        <w:t>P362</w:t>
      </w:r>
      <w:r>
        <w:t>。立即提供所有记录跳过了法律确认和内部协调步骤，可能导致过度披露或响应不当，不如选项B中先咨询法律顾问的做法符合教材对执法请求响应流程的规定。</w:t>
      </w:r>
    </w:p>
    <w:p>
      <w:pPr>
        <w:spacing w:line="360" w:lineRule="auto" w:after="40"/>
      </w:pPr>
      <w:r>
        <w:rPr>
          <w:b/>
          <w:shd w:fill="D6E4F0" w:val="clear"/>
        </w:rPr>
        <w:t>易错提醒：</w:t>
      </w:r>
    </w:p>
    <w:p>
      <w:pPr>
        <w:spacing w:line="360" w:lineRule="auto" w:after="40"/>
      </w:pPr>
      <w:r>
        <w:t>314(b)信息共享是自愿机制，允许机构间分享信息以识别洗钱活动</w:t>
      </w:r>
      <w:r>
        <w:rPr>
          <w:sz w:val="15"/>
          <w:vertAlign w:val="superscript"/>
        </w:rPr>
        <w:t>P239</w:t>
      </w:r>
      <w:r>
        <w:t>，但它不能替代对执法请求的法律审查义务。传票是强制性的法律文书，必须先由法律顾问评估其有效性再回应。两者的根本区别在于：一个是自愿共享工具，一个是必须优先处理的法定义务。</w:t>
      </w:r>
    </w:p>
    <w:p>
      <w:pPr>
        <w:spacing w:line="360" w:lineRule="auto" w:after="120"/>
      </w:pPr>
      <w:r/>
    </w:p>
    <w:p>
      <w:pPr>
        <w:spacing w:line="360" w:lineRule="auto" w:after="40"/>
      </w:pPr>
      <w:r>
        <w:t>3. 一家美国金融机构的合规官收到大陪审团传票，要求提供与涉及一名政治公众人物（PEP）的正在进行的洗钱调查相关的客户记录。合规官首先应该做什么？</w:t>
      </w:r>
    </w:p>
    <w:p>
      <w:pPr>
        <w:spacing w:line="360" w:lineRule="auto" w:after="20"/>
      </w:pPr>
      <w:r>
        <w:t>A.通知客户并征求其同意</w:t>
      </w:r>
    </w:p>
    <w:p>
      <w:pPr>
        <w:spacing w:line="360" w:lineRule="auto" w:after="20"/>
      </w:pPr>
      <w:r>
        <w:t>B.咨询机构法律顾问，评估传票的有效性并确定适当的应对措施</w:t>
      </w:r>
    </w:p>
    <w:p>
      <w:pPr>
        <w:spacing w:line="360" w:lineRule="auto" w:after="20"/>
      </w:pPr>
      <w:r>
        <w:t>C.立即向大陪审团提供记录</w:t>
      </w:r>
    </w:p>
    <w:p>
      <w:pPr>
        <w:spacing w:line="360" w:lineRule="auto" w:after="20"/>
      </w:pPr>
      <w:r>
        <w:t>D.提交一份可疑活动报告（SAR），说明收到传票的情况</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收到法律传票后的首要合规程序：法律评估前置</w:t>
      </w:r>
    </w:p>
    <w:p>
      <w:pPr>
        <w:spacing w:line="360" w:lineRule="auto" w:after="40"/>
      </w:pPr>
      <w:r>
        <w:rPr>
          <w:b/>
          <w:shd w:fill="D6E4F0" w:val="clear"/>
        </w:rPr>
        <w:t>核心解析：</w:t>
      </w:r>
    </w:p>
    <w:p>
      <w:pPr>
        <w:spacing w:line="360" w:lineRule="auto" w:after="40"/>
      </w:pPr>
      <w:r>
        <w:t>金融机构收到执法请求后，应先进行</w:t>
      </w:r>
      <w:r>
        <w:rPr>
          <w:b/>
        </w:rPr>
        <w:t>初步评估，以理解请求的合法性、紧迫性和相关性</w:t>
      </w:r>
      <w:r>
        <w:rPr>
          <w:sz w:val="15"/>
          <w:vertAlign w:val="superscript"/>
        </w:rPr>
        <w:t>P362</w:t>
      </w:r>
      <w:r>
        <w:t>。题干中的大陪审团传票属于此类执法请求。就该场景而言，与机构法律顾问协商，有助于核实传票有效性和范围、识别保密及期限要求并确定适当响应方式，因此B最符合“先评估、后响应”的程序。B表示法律顾问是本题给定选项中最合适的协作对象，并不意味着初步评估在所有机构都只能由法律顾问完成。</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教材指出，执法请求要求高度的保密性、紧迫性和准确性</w:t>
      </w:r>
      <w:r>
        <w:rPr>
          <w:sz w:val="15"/>
          <w:vertAlign w:val="superscript"/>
        </w:rPr>
        <w:t>P362</w:t>
      </w:r>
      <w:r>
        <w:t>。在尚未完成法律评估前通知客户并征求同意，可能泄露调查并影响机构履行传票义务，因此A不符合首先采取的行动。</w:t>
      </w:r>
    </w:p>
    <w:p>
      <w:pPr>
        <w:spacing w:line="360" w:lineRule="auto" w:after="40"/>
      </w:pPr>
      <w:r>
        <w:rPr>
          <w:b/>
          <w:shd w:fill="D6E4F0" w:val="clear"/>
        </w:rPr>
        <w:t>C项错误：</w:t>
      </w:r>
    </w:p>
    <w:p>
      <w:pPr>
        <w:spacing w:line="360" w:lineRule="auto" w:after="40"/>
      </w:pPr>
      <w:r>
        <w:t>立即提供记录跳过了教材要求的“初步评估”步骤</w:t>
      </w:r>
      <w:r>
        <w:rPr>
          <w:sz w:val="15"/>
          <w:vertAlign w:val="superscript"/>
        </w:rPr>
        <w:t>P362</w:t>
      </w:r>
      <w:r>
        <w:t>，未先验证传票的有效性和范围就直接响应，程序上存在缺口。相比之下，B先评估再行动的流程更吻合教材对执法请求响应协议的要求。</w:t>
      </w:r>
    </w:p>
    <w:p>
      <w:pPr>
        <w:spacing w:line="360" w:lineRule="auto" w:after="40"/>
      </w:pPr>
      <w:r>
        <w:rPr>
          <w:b/>
          <w:shd w:fill="D6E4F0" w:val="clear"/>
        </w:rPr>
        <w:t>D项错误：</w:t>
      </w:r>
    </w:p>
    <w:p>
      <w:pPr>
        <w:spacing w:line="360" w:lineRule="auto" w:after="40"/>
      </w:pPr>
      <w:r>
        <w:t>传票可能触发客户审查，但并不自动导致提交SAR——因为可能存在信息不足以支持可疑活动认定的情况</w:t>
      </w:r>
      <w:r>
        <w:rPr>
          <w:sz w:val="15"/>
          <w:vertAlign w:val="superscript"/>
        </w:rPr>
        <w:t>P357</w:t>
      </w:r>
      <w:r>
        <w:t>。收到传票本身不是提交SAR的充分条件，题干条件更直接支持先进行法律评估而非立即提交SAR。</w:t>
      </w:r>
    </w:p>
    <w:p>
      <w:pPr>
        <w:spacing w:line="360" w:lineRule="auto" w:after="40"/>
      </w:pPr>
      <w:r>
        <w:rPr>
          <w:b/>
          <w:shd w:fill="D6E4F0" w:val="clear"/>
        </w:rPr>
        <w:t>易错提醒：</w:t>
      </w:r>
    </w:p>
    <w:p>
      <w:pPr>
        <w:spacing w:line="360" w:lineRule="auto" w:after="40"/>
      </w:pPr>
      <w:r>
        <w:t>学生易混淆“传票触发的客户审查”与“确认可疑活动后提交SAR”。传票是一种法律令状，收到后机构需审查客户，若审查未发现足以支持可疑活动认定的信息，则不自动触发SAR</w:t>
      </w:r>
      <w:r>
        <w:rPr>
          <w:sz w:val="15"/>
          <w:vertAlign w:val="superscript"/>
        </w:rPr>
        <w:t>P357</w:t>
      </w:r>
      <w:r>
        <w:t>；仅当审查确认存在潜在洗钱等可疑活动并满足监管标准时，才产生相应的SAR提交义务。两者的触发条件不同，传票不等于可疑活动已确认。</w:t>
      </w:r>
    </w:p>
    <w:p>
      <w:pPr>
        <w:spacing w:line="360" w:lineRule="auto" w:after="120"/>
      </w:pPr>
      <w:r/>
    </w:p>
    <w:p>
      <w:pPr>
        <w:spacing w:line="360" w:lineRule="auto" w:after="40"/>
      </w:pPr>
      <w:r>
        <w:t>4. 当金融机构收到有关客户的联邦大陪审团传票时,应采取何种行动？</w:t>
      </w:r>
    </w:p>
    <w:p>
      <w:pPr>
        <w:spacing w:line="360" w:lineRule="auto" w:after="20"/>
      </w:pPr>
      <w:r>
        <w:t>A.复印客户的文件,并将原件提交给执法机构</w:t>
      </w:r>
    </w:p>
    <w:p>
      <w:pPr>
        <w:spacing w:line="360" w:lineRule="auto" w:after="20"/>
      </w:pPr>
      <w:r>
        <w:t>B.在提交文件前通知被调查的客户</w:t>
      </w:r>
    </w:p>
    <w:p>
      <w:pPr>
        <w:spacing w:line="360" w:lineRule="auto" w:after="20"/>
      </w:pPr>
      <w:r>
        <w:t>C.应执法机构的口头请求,保持客户账户的开放状态</w:t>
      </w:r>
    </w:p>
    <w:p>
      <w:pPr>
        <w:spacing w:line="360" w:lineRule="auto" w:after="20"/>
      </w:pPr>
      <w:r>
        <w:t>D.请该机构指派的法律顾问审查传票</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收到传票后先评估合法性并协调法律团队</w:t>
      </w:r>
    </w:p>
    <w:p>
      <w:pPr>
        <w:spacing w:line="360" w:lineRule="auto" w:after="40"/>
      </w:pPr>
      <w:r>
        <w:rPr>
          <w:b/>
          <w:shd w:fill="D6E4F0" w:val="clear"/>
        </w:rPr>
        <w:t>核心解析：</w:t>
      </w:r>
    </w:p>
    <w:p>
      <w:pPr>
        <w:spacing w:line="360" w:lineRule="auto" w:after="40"/>
      </w:pPr>
      <w:r>
        <w:t>传票与法院命令属于最正式的执法请求类型，并会规定提交记录的期限</w:t>
      </w:r>
      <w:r>
        <w:rPr>
          <w:sz w:val="15"/>
          <w:vertAlign w:val="superscript"/>
        </w:rPr>
        <w:t>P361</w:t>
      </w:r>
      <w:r>
        <w:t>。收到执法请求后，金融机构应先</w:t>
      </w:r>
      <w:r>
        <w:rPr>
          <w:b/>
        </w:rPr>
        <w:t>评估请求的合法性、紧迫性和相关性</w:t>
      </w:r>
      <w:r>
        <w:rPr>
          <w:sz w:val="15"/>
          <w:vertAlign w:val="superscript"/>
        </w:rPr>
        <w:t>P362</w:t>
      </w:r>
      <w:r>
        <w:t>；初步评估通常由机构指定的合规人员负责，并由其协调法律团队、记录保存部门等相关职能</w:t>
      </w:r>
      <w:r>
        <w:rPr>
          <w:sz w:val="15"/>
          <w:vertAlign w:val="superscript"/>
        </w:rPr>
        <w:t>P362</w:t>
      </w:r>
      <w:r>
        <w:t>。因此，在给定选项中，让机构指派的法律顾问审查传票最符合前置合法性审查和跨部门协作要求。法律顾问提供法律审查，指定合规人员仍负责统筹响应流程。</w:t>
      </w:r>
    </w:p>
    <w:p>
      <w:pPr>
        <w:spacing w:line="360" w:lineRule="auto" w:after="40"/>
      </w:pPr>
      <w:r>
        <w:rPr>
          <w:b/>
          <w:shd w:fill="D6E4F0" w:val="clear"/>
        </w:rPr>
        <w:t>教材原句：</w:t>
      </w:r>
    </w:p>
    <w:p>
      <w:pPr>
        <w:spacing w:line="360" w:lineRule="auto" w:after="40"/>
      </w:pPr>
      <w:r>
        <w:t>"Upon receipt of a law enforcement request, the FI should make an initial assessment."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传票会规定记录提交期限</w:t>
      </w:r>
      <w:r>
        <w:rPr>
          <w:sz w:val="15"/>
          <w:vertAlign w:val="superscript"/>
        </w:rPr>
        <w:t>P361</w:t>
      </w:r>
      <w:r>
        <w:t>，但机构收到请求后仍应先评估其合法性、紧迫性和相关性</w:t>
      </w:r>
      <w:r>
        <w:rPr>
          <w:sz w:val="15"/>
          <w:vertAlign w:val="superscript"/>
        </w:rPr>
        <w:t>P362</w:t>
      </w:r>
      <w:r>
        <w:t>。A直接进入文件制作和提交阶段，并把提交对象限定为原件，不符合前置审查和按请求范围准备材料的要求。</w:t>
      </w:r>
    </w:p>
    <w:p>
      <w:pPr>
        <w:spacing w:line="360" w:lineRule="auto" w:after="40"/>
      </w:pPr>
      <w:r>
        <w:rPr>
          <w:b/>
          <w:shd w:fill="D6E4F0" w:val="clear"/>
        </w:rPr>
        <w:t>B项错误：</w:t>
      </w:r>
    </w:p>
    <w:p>
      <w:pPr>
        <w:spacing w:line="360" w:lineRule="auto" w:after="40"/>
      </w:pPr>
      <w:r>
        <w:t>执法请求要求高度保密、紧迫和准确</w:t>
      </w:r>
      <w:r>
        <w:rPr>
          <w:sz w:val="15"/>
          <w:vertAlign w:val="superscript"/>
        </w:rPr>
        <w:t>P362</w:t>
      </w:r>
      <w:r>
        <w:t>。在提交材料前通知被调查客户可能泄露调查信息，破坏响应过程的保密性。</w:t>
      </w:r>
    </w:p>
    <w:p>
      <w:pPr>
        <w:spacing w:line="360" w:lineRule="auto" w:after="40"/>
      </w:pPr>
      <w:r>
        <w:rPr>
          <w:b/>
          <w:shd w:fill="D6E4F0" w:val="clear"/>
        </w:rPr>
        <w:t>C项错误：</w:t>
      </w:r>
    </w:p>
    <w:p>
      <w:pPr>
        <w:spacing w:line="360" w:lineRule="auto" w:after="40"/>
      </w:pPr>
      <w:r>
        <w:t>教材承认执法机构可能要求金融机构保持特定账户开放并监控</w:t>
      </w:r>
      <w:r>
        <w:rPr>
          <w:sz w:val="15"/>
          <w:vertAlign w:val="superscript"/>
        </w:rPr>
        <w:t>P362</w:t>
      </w:r>
      <w:r>
        <w:t>，但执法请求必须以书面形式提交</w:t>
      </w:r>
      <w:r>
        <w:rPr>
          <w:sz w:val="15"/>
          <w:vertAlign w:val="superscript"/>
        </w:rPr>
        <w:t>P361</w:t>
      </w:r>
      <w:r>
        <w:t>。C把执行依据限定为“口头请求”，缺少教材要求的正式书面请求。</w:t>
      </w:r>
    </w:p>
    <w:p>
      <w:pPr>
        <w:spacing w:line="360" w:lineRule="auto" w:after="40"/>
      </w:pPr>
      <w:r>
        <w:rPr>
          <w:b/>
          <w:shd w:fill="D6E4F0" w:val="clear"/>
        </w:rPr>
        <w:t>易错提醒：</w:t>
      </w:r>
    </w:p>
    <w:p>
      <w:pPr>
        <w:spacing w:line="360" w:lineRule="auto" w:after="40"/>
      </w:pPr>
      <w:r>
        <w:t>初步评估通常由指定的合规团队人员开展</w:t>
      </w:r>
      <w:r>
        <w:rPr>
          <w:sz w:val="15"/>
          <w:vertAlign w:val="superscript"/>
        </w:rPr>
        <w:t>P362</w:t>
      </w:r>
      <w:r>
        <w:t>，法律团队属于需要协作的响应部门</w:t>
      </w:r>
      <w:r>
        <w:rPr>
          <w:sz w:val="15"/>
          <w:vertAlign w:val="superscript"/>
        </w:rPr>
        <w:t>P362</w:t>
      </w:r>
      <w:r>
        <w:t>。不要把“让法律顾问审查传票”理解为法律顾问取代合规团队承担全部响应职责。</w:t>
      </w:r>
    </w:p>
    <w:p>
      <w:pPr>
        <w:spacing w:line="360" w:lineRule="auto" w:after="120"/>
      </w:pPr>
      <w:r/>
    </w:p>
    <w:p>
      <w:pPr>
        <w:spacing w:line="360" w:lineRule="auto" w:after="40"/>
      </w:pPr>
      <w:r>
        <w:t>5. 金融机构(FI)在收到执法部门要求提供文件的正式请求时应如何应对？</w:t>
      </w:r>
    </w:p>
    <w:p>
      <w:pPr>
        <w:spacing w:line="360" w:lineRule="auto" w:after="20"/>
      </w:pPr>
      <w:r>
        <w:t>A.要随时向高级管理层通报情况,以便从战略上组织应对措施,终止执法部门的请求.</w:t>
      </w:r>
    </w:p>
    <w:p>
      <w:pPr>
        <w:spacing w:line="360" w:lineRule="auto" w:after="20"/>
      </w:pPr>
      <w:r>
        <w:t>B.核实执法人员的身份,并告知其在首席执行官有空时前来送达执法请求,由首席执行官签收.</w:t>
      </w:r>
    </w:p>
    <w:p>
      <w:pPr>
        <w:spacing w:line="360" w:lineRule="auto" w:after="20"/>
      </w:pPr>
      <w:r>
        <w:t>C.在根据执法请求提供任何信息之前,要求延长审查期限,以便查看金融机构的隐私政策和保密政策.</w:t>
      </w:r>
    </w:p>
    <w:p>
      <w:pPr>
        <w:spacing w:line="360" w:lineRule="auto" w:after="20"/>
      </w:pPr>
      <w:r>
        <w:t>D.指定一名人员负责内部调查,以准备请求所需的文件</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执法请求的指定人员评估与协调响应机制</w:t>
      </w:r>
    </w:p>
    <w:p>
      <w:pPr>
        <w:spacing w:line="360" w:lineRule="auto" w:after="40"/>
      </w:pPr>
      <w:r>
        <w:rPr>
          <w:b/>
          <w:shd w:fill="D6E4F0" w:val="clear"/>
        </w:rPr>
        <w:t>核心解析：</w:t>
      </w:r>
    </w:p>
    <w:p>
      <w:pPr>
        <w:spacing w:line="360" w:lineRule="auto" w:after="40"/>
      </w:pPr>
      <w:r>
        <w:t>收到执法请求后，金融机构应进行</w:t>
      </w:r>
      <w:r>
        <w:rPr>
          <w:b/>
        </w:rPr>
        <w:t>初步评估</w:t>
      </w:r>
      <w:r>
        <w:t>，评估通常由机构指定的合规团队官员负责，目的是了解请求的合法性、紧迫性和相关性</w:t>
      </w:r>
      <w:r>
        <w:rPr>
          <w:sz w:val="15"/>
          <w:vertAlign w:val="superscript"/>
        </w:rPr>
        <w:t>P362</w:t>
      </w:r>
      <w:r>
        <w:t>。指定官员还需与法务、记录保存及其他响应部门建立有效关系，以提高透明度和问责性并缩短响应时间</w:t>
      </w:r>
      <w:r>
        <w:rPr>
          <w:sz w:val="15"/>
          <w:vertAlign w:val="superscript"/>
        </w:rPr>
        <w:t>P362</w:t>
      </w:r>
      <w:r>
        <w:t>。D虽然使用了“负责内部调查”的表述，但其核心动作是指定人员统筹处理并准备请求所需文件，在四个选项中最接近教材要求的</w:t>
      </w:r>
      <w:r>
        <w:rPr>
          <w:b/>
        </w:rPr>
        <w:t>指定官员评估并协调响应</w:t>
      </w:r>
      <w:r>
        <w:t>。因此答案为D。</w:t>
      </w:r>
    </w:p>
    <w:p>
      <w:pPr>
        <w:spacing w:line="360" w:lineRule="auto" w:after="40"/>
      </w:pPr>
      <w:r>
        <w:rPr>
          <w:b/>
          <w:shd w:fill="D6E4F0" w:val="clear"/>
        </w:rPr>
        <w:t>教材原句：</w:t>
      </w:r>
    </w:p>
    <w:p>
      <w:pPr>
        <w:spacing w:line="360" w:lineRule="auto" w:after="40"/>
      </w:pPr>
      <w:r>
        <w:t>"Upon receipt of a law enforcement request, the FI should make an initial assessment. The FI’s nominated or designated officer typically conducts this assessment."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选项A的核心动作是“终止执法部门的请求”。教材明确要求“必须迅速、完整地回应执法请求，否则可能给组织带来不必要的风险或损害”</w:t>
      </w:r>
      <w:r>
        <w:rPr>
          <w:sz w:val="15"/>
          <w:vertAlign w:val="superscript"/>
        </w:rPr>
        <w:t>P350</w:t>
      </w:r>
      <w:r>
        <w:t>。试图终止合法请求与配合义务根本冲突，题干更支持D项遵循指定专人机制进行配合，而非组织防御性对抗。</w:t>
      </w:r>
    </w:p>
    <w:p>
      <w:pPr>
        <w:spacing w:line="360" w:lineRule="auto" w:after="40"/>
      </w:pPr>
      <w:r>
        <w:rPr>
          <w:b/>
          <w:shd w:fill="D6E4F0" w:val="clear"/>
        </w:rPr>
        <w:t>B项错误：</w:t>
      </w:r>
    </w:p>
    <w:p>
      <w:pPr>
        <w:spacing w:line="360" w:lineRule="auto" w:after="40"/>
      </w:pPr>
      <w:r>
        <w:t>选项B将签收执法请求的责任限定于“首席执行官有空时”。核实执法人员身份是合理操作，但教材指出多数组织会指定专门联络人</w:t>
      </w:r>
      <w:r>
        <w:rPr>
          <w:sz w:val="15"/>
          <w:vertAlign w:val="superscript"/>
        </w:rPr>
        <w:t>P361</w:t>
      </w:r>
      <w:r>
        <w:t>，而非必须由CEO亲自签收。将响应时机绑定在单一高管的时间安排上，不如由指定人员及时启动评估与协调响应符合教材对响应效率的要求</w:t>
      </w:r>
      <w:r>
        <w:rPr>
          <w:sz w:val="15"/>
          <w:vertAlign w:val="superscript"/>
        </w:rPr>
        <w:t>P362</w:t>
      </w:r>
      <w:r>
        <w:t>。</w:t>
      </w:r>
    </w:p>
    <w:p>
      <w:pPr>
        <w:spacing w:line="360" w:lineRule="auto" w:after="40"/>
      </w:pPr>
      <w:r>
        <w:rPr>
          <w:b/>
          <w:shd w:fill="D6E4F0" w:val="clear"/>
        </w:rPr>
        <w:t>C项错误：</w:t>
      </w:r>
    </w:p>
    <w:p>
      <w:pPr>
        <w:spacing w:line="360" w:lineRule="auto" w:after="40"/>
      </w:pPr>
      <w:r>
        <w:t>传票和法院命令会规定提交记录的截止日期，但教材也明确保留了“获得延期”的可能</w:t>
      </w:r>
      <w:r>
        <w:rPr>
          <w:sz w:val="15"/>
          <w:vertAlign w:val="superscript"/>
        </w:rPr>
        <w:t>P361</w:t>
      </w:r>
      <w:r>
        <w:t>，因此申请延期并非一概错误。C的问题是把“为了查看本机构政策而先要求延期”设成默认响应；教材要求先由指定官员评估请求的合法性、紧迫性和相关性</w:t>
      </w:r>
      <w:r>
        <w:rPr>
          <w:sz w:val="15"/>
          <w:vertAlign w:val="superscript"/>
        </w:rPr>
        <w:t>P362</w:t>
      </w:r>
      <w:r>
        <w:t>。确有需要时可以申请延期，但必须获得批准，D所体现的指定人员评估并协调响应更符合教材流程。</w:t>
      </w:r>
    </w:p>
    <w:p>
      <w:pPr>
        <w:spacing w:line="360" w:lineRule="auto" w:after="40"/>
      </w:pPr>
      <w:r>
        <w:rPr>
          <w:b/>
          <w:shd w:fill="D6E4F0" w:val="clear"/>
        </w:rPr>
        <w:t>易错提醒：</w:t>
      </w:r>
    </w:p>
    <w:p>
      <w:pPr>
        <w:spacing w:line="360" w:lineRule="auto" w:after="40"/>
      </w:pPr>
      <w:r>
        <w:t>正式执法请求通常规定记录提交期限，但在获得批准时可以延期</w:t>
      </w:r>
      <w:r>
        <w:rPr>
          <w:sz w:val="15"/>
          <w:vertAlign w:val="superscript"/>
        </w:rPr>
        <w:t>P361</w:t>
      </w:r>
      <w:r>
        <w:t>。正确判断标准不是“一律不得延期”，而是先由指定官员评估请求的合法性、紧迫性和相关性，再协调相关部门依法、及时响应</w:t>
      </w:r>
      <w:r>
        <w:rPr>
          <w:sz w:val="15"/>
          <w:vertAlign w:val="superscript"/>
        </w:rPr>
        <w:t>P362</w:t>
      </w:r>
      <w:r>
        <w:t>。</w:t>
      </w:r>
    </w:p>
    <w:p>
      <w:pPr>
        <w:spacing w:line="360" w:lineRule="auto" w:after="120"/>
      </w:pPr>
      <w:r/>
    </w:p>
    <w:p>
      <w:pPr>
        <w:spacing w:line="360" w:lineRule="auto" w:after="40"/>
      </w:pPr>
      <w:r>
        <w:t>6. 一家执法机构向一家金融机构提交了多项请求.哪项请求是合法的,并且需要银行作出回应？</w:t>
      </w:r>
    </w:p>
    <w:p>
      <w:pPr>
        <w:spacing w:line="360" w:lineRule="auto" w:after="20"/>
      </w:pPr>
      <w:r>
        <w:t>A.根据口头请求保持账户开放</w:t>
      </w:r>
    </w:p>
    <w:p>
      <w:pPr>
        <w:spacing w:line="360" w:lineRule="auto" w:after="20"/>
      </w:pPr>
      <w:r>
        <w:t>B.在未获传票的情况下提供文件和证词</w:t>
      </w:r>
    </w:p>
    <w:p>
      <w:pPr>
        <w:spacing w:line="360" w:lineRule="auto" w:after="20"/>
      </w:pPr>
      <w:r>
        <w:t>C.根据书面请求扣押受法律特权保护的文件</w:t>
      </w:r>
    </w:p>
    <w:p>
      <w:pPr>
        <w:spacing w:line="360" w:lineRule="auto" w:after="20"/>
      </w:pPr>
      <w:r>
        <w:t>D.根据法院命令冻结账户</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识别执法请求的合法形式与银行回应义务的法律要件</w:t>
      </w:r>
    </w:p>
    <w:p>
      <w:pPr>
        <w:spacing w:line="360" w:lineRule="auto" w:after="40"/>
      </w:pPr>
      <w:r>
        <w:rPr>
          <w:b/>
          <w:shd w:fill="D6E4F0" w:val="clear"/>
        </w:rPr>
        <w:t>核心解析：</w:t>
      </w:r>
    </w:p>
    <w:p>
      <w:pPr>
        <w:spacing w:line="360" w:lineRule="auto" w:after="40"/>
      </w:pPr>
      <w:r>
        <w:t>教材要求</w:t>
      </w:r>
      <w:r>
        <w:rPr>
          <w:b/>
        </w:rPr>
        <w:t>执法机构提交书面请求</w:t>
      </w:r>
      <w:r>
        <w:t>，并指出</w:t>
      </w:r>
      <w:r>
        <w:rPr>
          <w:b/>
        </w:rPr>
        <w:t>传票和法院命令属于最正式的请求形式</w:t>
      </w:r>
      <w:r>
        <w:rPr>
          <w:sz w:val="15"/>
          <w:vertAlign w:val="superscript"/>
        </w:rPr>
        <w:t>P361</w:t>
      </w:r>
      <w:r>
        <w:t>；</w:t>
      </w:r>
      <w:r>
        <w:rPr>
          <w:b/>
        </w:rPr>
        <w:t>不遵守法院命令可能导致重大的民事和刑事处罚</w:t>
      </w:r>
      <w:r>
        <w:rPr>
          <w:sz w:val="15"/>
          <w:vertAlign w:val="superscript"/>
        </w:rPr>
        <w:t>P361</w:t>
      </w:r>
      <w:r>
        <w:t>。D项明确给出“法院命令”这一正式法律依据，并要求据此冻结账户，因此同时满足题干的“合法”和“需要银行作出回应”。</w:t>
      </w:r>
    </w:p>
    <w:p>
      <w:pPr>
        <w:spacing w:line="360" w:lineRule="auto" w:after="40"/>
      </w:pPr>
      <w:r>
        <w:rPr>
          <w:b/>
          <w:shd w:fill="D6E4F0" w:val="clear"/>
        </w:rPr>
        <w:t>教材原句：</w:t>
      </w:r>
    </w:p>
    <w:p>
      <w:pPr>
        <w:spacing w:line="360" w:lineRule="auto" w:after="40"/>
      </w:pPr>
      <w:r>
        <w:t>"Failure to comply with a court-ordered request can result in substantial civil and criminal penalties."</w:t>
      </w:r>
      <w:r>
        <w:rPr>
          <w:sz w:val="15"/>
          <w:vertAlign w:val="superscript"/>
        </w:rPr>
        <w:t>P361</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教材确实提到执法机构可能要求金融机构保持特定账户开放并监控</w:t>
      </w:r>
      <w:r>
        <w:rPr>
          <w:sz w:val="15"/>
          <w:vertAlign w:val="superscript"/>
        </w:rPr>
        <w:t>P362</w:t>
      </w:r>
      <w:r>
        <w:t>，但同时明确执法机构必须提交书面请求</w:t>
      </w:r>
      <w:r>
        <w:rPr>
          <w:sz w:val="15"/>
          <w:vertAlign w:val="superscript"/>
        </w:rPr>
        <w:t>P361</w:t>
      </w:r>
      <w:r>
        <w:t>。A项限定为“口头请求”，未满足这一形式要求。</w:t>
      </w:r>
    </w:p>
    <w:p>
      <w:pPr>
        <w:spacing w:line="360" w:lineRule="auto" w:after="40"/>
      </w:pPr>
      <w:r>
        <w:rPr>
          <w:b/>
          <w:shd w:fill="D6E4F0" w:val="clear"/>
        </w:rPr>
        <w:t>B项错误：</w:t>
      </w:r>
    </w:p>
    <w:p>
      <w:pPr>
        <w:spacing w:line="360" w:lineRule="auto" w:after="40"/>
      </w:pPr>
      <w:r>
        <w:t>教材把传票、法院命令列为最正式的请求，并说明其规定记录提交期限</w:t>
      </w:r>
      <w:r>
        <w:rPr>
          <w:sz w:val="15"/>
          <w:vertAlign w:val="superscript"/>
        </w:rPr>
        <w:t>P361</w:t>
      </w:r>
      <w:r>
        <w:t>。B项只说“未获传票”即提供文件和证词，也未给出法院命令、文件调取令等其他正式依据，不能建立题干所要求的强制回应义务。</w:t>
      </w:r>
    </w:p>
    <w:p>
      <w:pPr>
        <w:spacing w:line="360" w:lineRule="auto" w:after="40"/>
      </w:pPr>
      <w:r>
        <w:rPr>
          <w:b/>
          <w:shd w:fill="D6E4F0" w:val="clear"/>
        </w:rPr>
        <w:t>C项错误：</w:t>
      </w:r>
    </w:p>
    <w:p>
      <w:pPr>
        <w:spacing w:line="360" w:lineRule="auto" w:after="40"/>
      </w:pPr>
      <w:r>
        <w:t>教材说明执法请求虽可采用不同书面形式，但法院命令和传票具有最正式的地位</w:t>
      </w:r>
      <w:r>
        <w:rPr>
          <w:sz w:val="15"/>
          <w:vertAlign w:val="superscript"/>
        </w:rPr>
        <w:t>P361</w:t>
      </w:r>
      <w:r>
        <w:t>。C项只有一般“书面请求”，没有说明授权扣押受法律特权保护文件的法院命令或其他正式法律依据，其合法性与强制回应义务均不如D项明确。</w:t>
      </w:r>
    </w:p>
    <w:p>
      <w:pPr>
        <w:spacing w:line="360" w:lineRule="auto" w:after="40"/>
      </w:pPr>
      <w:r>
        <w:rPr>
          <w:b/>
          <w:shd w:fill="D6E4F0" w:val="clear"/>
        </w:rPr>
        <w:t>易错提醒：</w:t>
      </w:r>
    </w:p>
    <w:p>
      <w:pPr>
        <w:spacing w:line="360" w:lineRule="auto" w:after="40"/>
      </w:pPr>
      <w:r>
        <w:t>保持账户开放这一事项本身不当然错误；</w:t>
      </w:r>
      <w:r>
        <w:rPr>
          <w:b/>
        </w:rPr>
        <w:t>错误在于A项只有口头请求</w:t>
      </w:r>
      <w:r>
        <w:t>。教材一方面允许执法机构提出保持账户开放的要求</w:t>
      </w:r>
      <w:r>
        <w:rPr>
          <w:sz w:val="15"/>
          <w:vertAlign w:val="superscript"/>
        </w:rPr>
        <w:t>P362</w:t>
      </w:r>
      <w:r>
        <w:t>，另一方面要求执法请求采用书面形式，并把法院命令列为最正式的请求</w:t>
      </w:r>
      <w:r>
        <w:rPr>
          <w:sz w:val="15"/>
          <w:vertAlign w:val="superscript"/>
        </w:rPr>
        <w:t>P361</w:t>
      </w:r>
      <w:r>
        <w:t>。</w:t>
      </w:r>
    </w:p>
    <w:p>
      <w:pPr>
        <w:spacing w:line="360" w:lineRule="auto" w:after="120"/>
      </w:pPr>
      <w:r/>
    </w:p>
    <w:p>
      <w:pPr>
        <w:spacing w:line="360" w:lineRule="auto" w:after="40"/>
      </w:pPr>
      <w:r>
        <w:t>7. 某外国司法管辖区的执法机构(LEA)就某金融机构(FI)的一名客户与其取得联系。该执法机构告知，该客户因一系列人口贩卖指控目前正被通缉，以待起诉。FI应该怎么做?（选择两项。）</w:t>
      </w:r>
    </w:p>
    <w:p>
      <w:pPr>
        <w:spacing w:line="360" w:lineRule="auto" w:after="20"/>
      </w:pPr>
      <w:r>
        <w:t>A.将请求告知当地执法机构和监管机构以引起其注意</w:t>
      </w:r>
    </w:p>
    <w:p>
      <w:pPr>
        <w:spacing w:line="360" w:lineRule="auto" w:after="20"/>
      </w:pPr>
      <w:r>
        <w:t>B.立即关闭客户的账户以避免任何不必要的风险</w:t>
      </w:r>
    </w:p>
    <w:p>
      <w:pPr>
        <w:spacing w:line="360" w:lineRule="auto" w:after="20"/>
      </w:pPr>
      <w:r>
        <w:t>C.审查客户的活动，确定是否存在可疑活动，并相应地进行报告</w:t>
      </w:r>
    </w:p>
    <w:p>
      <w:pPr>
        <w:spacing w:line="360" w:lineRule="auto" w:after="20"/>
      </w:pPr>
      <w:r>
        <w:t>D.告知执法机构，需要联系政府办理引渡事宜</w:t>
      </w:r>
    </w:p>
    <w:p>
      <w:pPr>
        <w:spacing w:line="360" w:lineRule="auto" w:after="20"/>
      </w:pPr>
      <w:r>
        <w:t>E.立即遵守外国司法管辖区的规定，移交所有客户信息</w:t>
      </w:r>
    </w:p>
    <w:p>
      <w:pPr>
        <w:spacing w:line="360" w:lineRule="auto" w:after="40"/>
      </w:pPr>
      <w:r>
        <w:t>答案:A、C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收到外国执法请求后的初步评估与可疑活动审查义务</w:t>
      </w:r>
    </w:p>
    <w:p>
      <w:pPr>
        <w:spacing w:line="360" w:lineRule="auto" w:after="40"/>
      </w:pPr>
      <w:r>
        <w:rPr>
          <w:b/>
          <w:shd w:fill="D6E4F0" w:val="clear"/>
        </w:rPr>
        <w:t>核心解析：</w:t>
      </w:r>
    </w:p>
    <w:p>
      <w:pPr>
        <w:spacing w:line="360" w:lineRule="auto" w:after="40"/>
      </w:pPr>
      <w:r>
        <w:t>教材规定，收到执法请求后，金融机构应首先进行</w:t>
      </w:r>
      <w:r>
        <w:rPr>
          <w:b/>
        </w:rPr>
        <w:t>初步评估</w:t>
      </w:r>
      <w:r>
        <w:t>，理解请求的合法性、紧迫性和相关性</w:t>
      </w:r>
      <w:r>
        <w:rPr>
          <w:sz w:val="15"/>
          <w:vertAlign w:val="superscript"/>
        </w:rPr>
        <w:t>P362</w:t>
      </w:r>
      <w:r>
        <w:t>。这并非要求金融机构直接满足外国执法机构的要求，而是启动内部合规流程确认如何回应。题干中，外国执法机构因客户涉嫌人口贩卖指控与金融机构联系——这是一种</w:t>
      </w:r>
      <w:r>
        <w:rPr>
          <w:b/>
        </w:rPr>
        <w:t>“执法请求”</w:t>
      </w:r>
      <w:r>
        <w:t>。因此，金融机构的第一步应当是评估该请求，并将此请求告知当地执法机构和监管机构（选项A），以协调响应并确保信息处理符合当地法律框架</w:t>
      </w:r>
      <w:r>
        <w:rPr>
          <w:sz w:val="15"/>
          <w:vertAlign w:val="superscript"/>
        </w:rPr>
        <w:t>P362</w:t>
      </w:r>
      <w:r>
        <w:t>。与此同时，FATF建议20</w:t>
      </w:r>
      <w:r>
        <w:rPr>
          <w:sz w:val="15"/>
          <w:vertAlign w:val="superscript"/>
        </w:rPr>
        <w:t>P349</w:t>
      </w:r>
      <w:r>
        <w:t>要求金融机构在有</w:t>
      </w:r>
      <w:r>
        <w:rPr>
          <w:b/>
        </w:rPr>
        <w:t>合理理由怀疑</w:t>
      </w:r>
      <w:r>
        <w:t>资金与犯罪活动相关时进行调查和报告。题干已明确客户正被通缉，这直接构成“合理理由”怀疑账户可能涉及犯罪收益。因此，</w:t>
      </w:r>
      <w:r>
        <w:rPr>
          <w:b/>
        </w:rPr>
        <w:t>审查客户活动、确定可疑活动是否存在、并据此提交报告</w:t>
      </w:r>
      <w:r>
        <w:t>（选项C）是该场景下金融机构必须履行的义务。选项A与选项C分别代表接收请求后的“内部管控告知”与“账户活动审查”两条并行合规路径。</w:t>
      </w:r>
    </w:p>
    <w:p>
      <w:pPr>
        <w:spacing w:line="360" w:lineRule="auto" w:after="40"/>
      </w:pPr>
      <w:r>
        <w:rPr>
          <w:b/>
          <w:shd w:fill="D6E4F0" w:val="clear"/>
        </w:rPr>
        <w:t>教材原句：</w:t>
      </w:r>
    </w:p>
    <w:p>
      <w:pPr>
        <w:spacing w:line="360" w:lineRule="auto" w:after="40"/>
      </w:pPr>
      <w:r>
        <w:t>"Upon receipt of a law enforcement request, the FI should make an initial assessment."</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题干场景是收到执法请求，教材指出执法机构可能要求金融机构保持账户开放并监控以协助调查</w:t>
      </w:r>
      <w:r>
        <w:rPr>
          <w:sz w:val="15"/>
          <w:vertAlign w:val="superscript"/>
        </w:rPr>
        <w:t>P362</w:t>
      </w:r>
      <w:r>
        <w:t>，立即关户可能与执法需求冲突。选项C先审查再报告的路径更匹配收到通缉信息后的直接义务。</w:t>
      </w:r>
    </w:p>
    <w:p>
      <w:pPr>
        <w:spacing w:line="360" w:lineRule="auto" w:after="40"/>
      </w:pPr>
      <w:r>
        <w:rPr>
          <w:b/>
          <w:shd w:fill="D6E4F0" w:val="clear"/>
        </w:rPr>
        <w:t>D项错误：</w:t>
      </w:r>
    </w:p>
    <w:p>
      <w:pPr>
        <w:spacing w:line="360" w:lineRule="auto" w:after="40"/>
      </w:pPr>
      <w:r>
        <w:t>引渡是司法辖区之间的政府间事务</w:t>
      </w:r>
      <w:r>
        <w:rPr>
          <w:sz w:val="15"/>
          <w:vertAlign w:val="superscript"/>
        </w:rPr>
        <w:t>P149</w:t>
      </w:r>
      <w:r>
        <w:t>，题干问的是金融机构自身应做什么。金融机构的职责是评估请求并审查账户活动，而非指导执法机构如何进行跨国司法协作。</w:t>
      </w:r>
    </w:p>
    <w:p>
      <w:pPr>
        <w:spacing w:line="360" w:lineRule="auto" w:after="40"/>
      </w:pPr>
      <w:r>
        <w:rPr>
          <w:b/>
          <w:shd w:fill="D6E4F0" w:val="clear"/>
        </w:rPr>
        <w:t>E项错误：</w:t>
      </w:r>
    </w:p>
    <w:p>
      <w:pPr>
        <w:spacing w:line="360" w:lineRule="auto" w:after="40"/>
      </w:pPr>
      <w:r>
        <w:t>教材强调金融机构的响应必须相称且合理，符合法律义务和运营能力</w:t>
      </w:r>
      <w:r>
        <w:rPr>
          <w:sz w:val="15"/>
          <w:vertAlign w:val="superscript"/>
        </w:rPr>
        <w:t>P362</w:t>
      </w:r>
      <w:r>
        <w:t>，且机构有义务维护信息保密性和完整性，确保披露符合法律合规标准</w:t>
      </w:r>
      <w:r>
        <w:rPr>
          <w:sz w:val="15"/>
          <w:vertAlign w:val="superscript"/>
        </w:rPr>
        <w:t>P362</w:t>
      </w:r>
      <w:r>
        <w:t>。“立即遵守外国司法管辖区规定移交所有信息”跳过了初步评估环节，不符合当地法律合规审查的要求。</w:t>
      </w:r>
    </w:p>
    <w:p>
      <w:pPr>
        <w:spacing w:line="360" w:lineRule="auto" w:after="40"/>
      </w:pPr>
      <w:r>
        <w:rPr>
          <w:b/>
          <w:shd w:fill="D6E4F0" w:val="clear"/>
        </w:rPr>
        <w:t>易错提醒：</w:t>
      </w:r>
    </w:p>
    <w:p>
      <w:pPr>
        <w:spacing w:line="360" w:lineRule="auto" w:after="40"/>
      </w:pPr>
      <w:r>
        <w:t>“依法回应执法请求”≠“无条件遵从”。教材规定收到请求后必须先做初步评估</w:t>
      </w:r>
      <w:r>
        <w:rPr>
          <w:sz w:val="15"/>
          <w:vertAlign w:val="superscript"/>
        </w:rPr>
        <w:t>P362</w:t>
      </w:r>
      <w:r>
        <w:t>，确认请求的合法性、紧迫性和相关性，并确保响应符合当地法律义务</w:t>
      </w:r>
      <w:r>
        <w:rPr>
          <w:sz w:val="15"/>
          <w:vertAlign w:val="superscript"/>
        </w:rPr>
        <w:t>P362</w:t>
      </w:r>
      <w:r>
        <w:t>。收到外国执法请求时直接移交客户信息（E）或自行处置（B）都跳过了评估这个必要步骤。</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