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CH09</w:t>
      </w:r>
    </w:p>
    <w:p>
      <w:pPr>
        <w:spacing w:line="360" w:lineRule="auto" w:after="160"/>
      </w:pPr>
      <w:r>
        <w:t>一、单项选择题</w:t>
      </w:r>
    </w:p>
    <w:p>
      <w:pPr>
        <w:spacing w:line="360" w:lineRule="auto" w:after="40"/>
      </w:pPr>
      <w:r>
        <w:t>1. 从宏观层面来看,风险评估流程包括识别和评估与客户、产品、国家以及交付渠道相关的固有风险,然后:</w:t>
      </w:r>
    </w:p>
    <w:p>
      <w:pPr>
        <w:spacing w:line="360" w:lineRule="auto" w:after="20"/>
      </w:pPr>
      <w:r>
        <w:t>A.将这些风险与行业基准进行比较,以确定剩余风险.</w:t>
      </w:r>
    </w:p>
    <w:p>
      <w:pPr>
        <w:spacing w:line="360" w:lineRule="auto" w:after="20"/>
      </w:pPr>
      <w:r>
        <w:t>B.实施新的控制措施以消除所有风险</w:t>
      </w:r>
    </w:p>
    <w:p>
      <w:pPr>
        <w:spacing w:line="360" w:lineRule="auto" w:after="20"/>
      </w:pPr>
      <w:r>
        <w:t>C.评估相关控制措施的有效性,以计算剩余风险.</w:t>
      </w:r>
    </w:p>
    <w:p>
      <w:pPr>
        <w:spacing w:line="360" w:lineRule="auto" w:after="20"/>
      </w:pPr>
      <w:r>
        <w:t>D.记录历史风险事件以供未来参考.</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企业全面风险评估的核心流程顺序</w:t>
      </w:r>
    </w:p>
    <w:p>
      <w:pPr>
        <w:spacing w:line="360" w:lineRule="auto" w:after="40"/>
      </w:pPr>
      <w:r>
        <w:rPr>
          <w:b/>
          <w:shd w:fill="D6E4F0" w:val="clear"/>
        </w:rPr>
        <w:t>核心解析：</w:t>
      </w:r>
    </w:p>
    <w:p>
      <w:pPr>
        <w:spacing w:line="360" w:lineRule="auto" w:after="40"/>
      </w:pPr>
      <w:r>
        <w:t>企业全面风险评估（EWRA）遵循特定流程：先确定固有风险，然后</w:t>
      </w:r>
      <w:r>
        <w:rPr>
          <w:b/>
        </w:rPr>
        <w:t>评估控制措施的有效性</w:t>
      </w:r>
      <w:r>
        <w:t>，接着计算剩余风险，最后制定行动计划</w:t>
      </w:r>
      <w:r>
        <w:rPr>
          <w:sz w:val="15"/>
          <w:vertAlign w:val="superscript"/>
        </w:rPr>
        <w:t>P268</w:t>
      </w:r>
      <w:r>
        <w:t>。剩余风险的计算公式为</w:t>
      </w:r>
      <w:r>
        <w:rPr>
          <w:b/>
        </w:rPr>
        <w:t>“固有风险减去控制有效性等于剩余风险”</w:t>
      </w:r>
      <w:r>
        <w:t>，即 residual risk = inherent risk – control effectiveness</w:t>
      </w:r>
      <w:r>
        <w:rPr>
          <w:sz w:val="15"/>
          <w:vertAlign w:val="superscript"/>
        </w:rPr>
        <w:t>P278</w:t>
      </w:r>
      <w:r>
        <w:t>。题干给出的是流程第一步“识别和评估固有风险”，问然后做什么，自然衔接第二步“评估相关控制措施的有效性”，再通往第三步“计算剩余风险”。选项C直接用第二个箭头接上第三条，完全吻合教材给出的流程框架。</w:t>
      </w:r>
    </w:p>
    <w:p>
      <w:pPr>
        <w:spacing w:line="360" w:lineRule="auto" w:after="40"/>
      </w:pPr>
      <w:r>
        <w:rPr>
          <w:b/>
          <w:shd w:fill="D6E4F0" w:val="clear"/>
        </w:rPr>
        <w:t>教材原句：</w:t>
      </w:r>
    </w:p>
    <w:p>
      <w:pPr>
        <w:spacing w:line="360" w:lineRule="auto" w:after="40"/>
      </w:pPr>
      <w:r>
        <w:t>"The process begins by establishing inherent risks, assessing the effectiveness of controls, computing the residual risk, and obtaining a clear action plan on mitigating the highest risks."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行业风险评估（SRA）由监管机构等外部主体执行</w:t>
      </w:r>
      <w:r>
        <w:rPr>
          <w:sz w:val="15"/>
          <w:vertAlign w:val="superscript"/>
        </w:rPr>
        <w:t>P268</w:t>
      </w:r>
      <w:r>
        <w:t>，整个流程里并不包含“与行业基准比较”这一环节。题干要求的是企业全面风险评估（EWRA）的内部步骤顺序，直接计算剩余风险比先做行业基准比较更符合教材的流程描述。</w:t>
      </w:r>
    </w:p>
    <w:p>
      <w:pPr>
        <w:spacing w:line="360" w:lineRule="auto" w:after="40"/>
      </w:pPr>
      <w:r>
        <w:rPr>
          <w:b/>
          <w:shd w:fill="D6E4F0" w:val="clear"/>
        </w:rPr>
        <w:t>B项错误：</w:t>
      </w:r>
    </w:p>
    <w:p>
      <w:pPr>
        <w:spacing w:line="360" w:lineRule="auto" w:after="40"/>
      </w:pPr>
      <w:r>
        <w:t>控制措施的目标是将固有风险降低至与机构风险偏好一致的可接受水平，而非“消除所有风险”</w:t>
      </w:r>
      <w:r>
        <w:rPr>
          <w:sz w:val="15"/>
          <w:vertAlign w:val="superscript"/>
        </w:rPr>
        <w:t>P278</w:t>
      </w:r>
      <w:r>
        <w:t>。风险无法被彻底消除，教材用“mitigate to an acceptable level”描述这一点，选项B的绝对化表述在教材框架下不成立。</w:t>
      </w:r>
    </w:p>
    <w:p>
      <w:pPr>
        <w:spacing w:line="360" w:lineRule="auto" w:after="40"/>
      </w:pPr>
      <w:r>
        <w:rPr>
          <w:b/>
          <w:shd w:fill="D6E4F0" w:val="clear"/>
        </w:rPr>
        <w:t>D项错误：</w:t>
      </w:r>
    </w:p>
    <w:p>
      <w:pPr>
        <w:spacing w:line="360" w:lineRule="auto" w:after="40"/>
      </w:pPr>
      <w:r>
        <w:t>完整记录和审计线索在整个反洗钱项目中都很重要</w:t>
      </w:r>
      <w:r>
        <w:rPr>
          <w:sz w:val="15"/>
          <w:vertAlign w:val="superscript"/>
        </w:rPr>
        <w:t>P337–338</w:t>
      </w:r>
      <w:r>
        <w:t>，但题干问的是宏观风险评估流程的固定步骤，即确定固有风险之后紧接什么。相比于直接推进剩余风险计算的评估控制有效性，记录历史事件明显不是这个时间节点上的连贯动作。</w:t>
      </w:r>
    </w:p>
    <w:p>
      <w:pPr>
        <w:spacing w:line="360" w:lineRule="auto" w:after="40"/>
      </w:pPr>
      <w:r>
        <w:rPr>
          <w:b/>
          <w:shd w:fill="D6E4F0" w:val="clear"/>
        </w:rPr>
        <w:t>易错提醒：</w:t>
      </w:r>
    </w:p>
    <w:p>
      <w:pPr>
        <w:spacing w:line="360" w:lineRule="auto" w:after="40"/>
      </w:pPr>
      <w:r>
        <w:t>容易把流程顺序记成：确定固有风险→计算剩余风险→再评估控制。但公式 residual risk = inherent risk – control effectiveness 本身说明必须先评估控制有效性，才能得出剩余风险，而不是倒过来。</w:t>
      </w:r>
    </w:p>
    <w:p>
      <w:pPr>
        <w:spacing w:line="360" w:lineRule="auto" w:after="120"/>
      </w:pPr>
      <w:r/>
    </w:p>
    <w:p>
      <w:pPr>
        <w:spacing w:line="360" w:lineRule="auto" w:after="40"/>
      </w:pPr>
      <w:r>
        <w:t>2. 基于风险的方法(RBA)意味着各国、主管当局和金融机构:</w:t>
      </w:r>
    </w:p>
    <w:p>
      <w:pPr>
        <w:spacing w:line="360" w:lineRule="auto" w:after="20"/>
      </w:pPr>
      <w:r>
        <w:t>A.可免于采取措施缓解被评估为低水平的洗钱/恐怖融资风险</w:t>
      </w:r>
    </w:p>
    <w:p>
      <w:pPr>
        <w:spacing w:line="360" w:lineRule="auto" w:after="20"/>
      </w:pPr>
      <w:r>
        <w:t>B.应将所有剩余风险降低至较低水平</w:t>
      </w:r>
    </w:p>
    <w:p>
      <w:pPr>
        <w:spacing w:line="360" w:lineRule="auto" w:after="20"/>
      </w:pPr>
      <w:r>
        <w:t>C.应当识别、评估并理解其面临的洗钱与恐怖融资风险</w:t>
      </w:r>
    </w:p>
    <w:p>
      <w:pPr>
        <w:spacing w:line="360" w:lineRule="auto" w:after="20"/>
      </w:pPr>
      <w:r>
        <w:t>D.将合规资源分配给与合规无关的任务</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风险为本方法（RBA）的核心定义</w:t>
      </w:r>
    </w:p>
    <w:p>
      <w:pPr>
        <w:spacing w:line="360" w:lineRule="auto" w:after="40"/>
      </w:pPr>
      <w:r>
        <w:rPr>
          <w:b/>
          <w:shd w:fill="D6E4F0" w:val="clear"/>
        </w:rPr>
        <w:t>核心解析：</w:t>
      </w:r>
    </w:p>
    <w:p>
      <w:pPr>
        <w:spacing w:line="360" w:lineRule="auto" w:after="40"/>
      </w:pPr>
      <w:r>
        <w:t>风险为本方法（RBA）指</w:t>
      </w:r>
      <w:r>
        <w:rPr>
          <w:b/>
        </w:rPr>
        <w:t>识别、评估和理解</w:t>
      </w:r>
      <w:r>
        <w:t>组织所面临的洗钱/恐怖融资风险，并采取适当措施有效缓解这些风险的过程</w:t>
      </w:r>
      <w:r>
        <w:rPr>
          <w:sz w:val="15"/>
          <w:vertAlign w:val="superscript"/>
        </w:rPr>
        <w:t>P270</w:t>
      </w:r>
      <w:r>
        <w:t>。FATF建议1同样要求各国识别、评估并了解其洗钱和恐怖融资风险</w:t>
      </w:r>
      <w:r>
        <w:rPr>
          <w:sz w:val="15"/>
          <w:vertAlign w:val="superscript"/>
        </w:rPr>
        <w:t>P267</w:t>
      </w:r>
      <w:r>
        <w:t>。题干直接问RBA对各国、主管当局和金融机构意味着什么，选项C的“识别、评估并理解其面临的洗钱与恐怖融资风险”与教材定义完全吻合，属于</w:t>
      </w:r>
      <w:r>
        <w:rPr>
          <w:b/>
        </w:rPr>
        <w:t>定义原文的直接复现</w:t>
      </w:r>
      <w:r>
        <w:t>，因此正确。</w:t>
      </w:r>
    </w:p>
    <w:p>
      <w:pPr>
        <w:spacing w:line="360" w:lineRule="auto" w:after="40"/>
      </w:pPr>
      <w:r>
        <w:rPr>
          <w:b/>
          <w:shd w:fill="D6E4F0" w:val="clear"/>
        </w:rPr>
        <w:t>教材原句：</w:t>
      </w:r>
    </w:p>
    <w:p>
      <w:pPr>
        <w:spacing w:line="360" w:lineRule="auto" w:after="40"/>
      </w:pPr>
      <w:r>
        <w:t>"A risk-based approach (RBA) is the process of identifying, assessing, and understanding the ML/TF risks to which organizations are exposed and taking appropriate measures to mitigate those risks effectively."</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教材指出RBA并非忽略其他风险，只是对最高风险投入更多资源</w:t>
      </w:r>
      <w:r>
        <w:rPr>
          <w:sz w:val="15"/>
          <w:vertAlign w:val="superscript"/>
        </w:rPr>
        <w:t>P276</w:t>
      </w:r>
      <w:r>
        <w:t>，因此低风险仍需缓解，题干更直接匹配“识别、评估、理解”的定义，而非“免除低风险缓解”。</w:t>
      </w:r>
    </w:p>
    <w:p>
      <w:pPr>
        <w:spacing w:line="360" w:lineRule="auto" w:after="40"/>
      </w:pPr>
      <w:r>
        <w:rPr>
          <w:b/>
          <w:shd w:fill="D6E4F0" w:val="clear"/>
        </w:rPr>
        <w:t>B项错误：</w:t>
      </w:r>
    </w:p>
    <w:p>
      <w:pPr>
        <w:spacing w:line="360" w:lineRule="auto" w:after="40"/>
      </w:pPr>
      <w:r>
        <w:t>RBA要求将风险降至可接受的剩余风险水平</w:t>
      </w:r>
      <w:r>
        <w:rPr>
          <w:sz w:val="15"/>
          <w:vertAlign w:val="superscript"/>
        </w:rPr>
        <w:t>P278</w:t>
      </w:r>
      <w:r>
        <w:t>，并非一律降至“较低水平”，对高风险客户采取EDD后剩余风险仍可能为中等，题干更吻合C的识别与理解而非B的绝对降级要求。</w:t>
      </w:r>
    </w:p>
    <w:p>
      <w:pPr>
        <w:spacing w:line="360" w:lineRule="auto" w:after="40"/>
      </w:pPr>
      <w:r>
        <w:rPr>
          <w:b/>
          <w:shd w:fill="D6E4F0" w:val="clear"/>
        </w:rPr>
        <w:t>D项错误：</w:t>
      </w:r>
    </w:p>
    <w:p>
      <w:pPr>
        <w:spacing w:line="360" w:lineRule="auto" w:after="40"/>
      </w:pPr>
      <w:r>
        <w:t>风险为本方法要求根据风险程度确定优先事项并配置合规资源。把资源分配给与合规无关的任务既不能帮助识别和理解洗钱风险，也不能形成相称的缓释措施，因此与RBA无关。</w:t>
      </w:r>
    </w:p>
    <w:p>
      <w:pPr>
        <w:spacing w:line="360" w:lineRule="auto" w:after="40"/>
      </w:pPr>
      <w:r>
        <w:rPr>
          <w:b/>
          <w:shd w:fill="D6E4F0" w:val="clear"/>
        </w:rPr>
        <w:t>易错提醒：</w:t>
      </w:r>
    </w:p>
    <w:p>
      <w:pPr>
        <w:spacing w:line="360" w:lineRule="auto" w:after="40"/>
      </w:pPr>
      <w:r>
        <w:t>RBA要求将风险降至“可接受的剩余风险水平”（acceptable level of residual risk）</w:t>
      </w:r>
      <w:r>
        <w:rPr>
          <w:sz w:val="15"/>
          <w:vertAlign w:val="superscript"/>
        </w:rPr>
        <w:t>P278</w:t>
      </w:r>
      <w:r>
        <w:t>，而非“降低至较低水平”——可接受不必然等于低，取决于组织的风险偏好。</w:t>
      </w:r>
    </w:p>
    <w:p>
      <w:pPr>
        <w:spacing w:line="360" w:lineRule="auto" w:after="120"/>
      </w:pPr>
      <w:r/>
    </w:p>
    <w:p>
      <w:pPr>
        <w:spacing w:line="360" w:lineRule="auto" w:after="40"/>
      </w:pPr>
      <w:r>
        <w:t>3. 风险偏好声明的目的在于:</w:t>
      </w:r>
    </w:p>
    <w:p>
      <w:pPr>
        <w:spacing w:line="360" w:lineRule="auto" w:after="20"/>
      </w:pPr>
      <w:r>
        <w:t>A.明确界定金融机构愿意承担的金融犯罪风险敞口水平.</w:t>
      </w:r>
    </w:p>
    <w:p>
      <w:pPr>
        <w:spacing w:line="360" w:lineRule="auto" w:after="20"/>
      </w:pPr>
      <w:r>
        <w:t>B.帮助投资者了解金融机构愿意承担的风险.</w:t>
      </w:r>
    </w:p>
    <w:p>
      <w:pPr>
        <w:spacing w:line="360" w:lineRule="auto" w:after="20"/>
      </w:pPr>
      <w:r>
        <w:t>C.帮助客户了解哪些金融机构可能愿意为其提供银行服务.</w:t>
      </w:r>
    </w:p>
    <w:p>
      <w:pPr>
        <w:spacing w:line="360" w:lineRule="auto" w:after="20"/>
      </w:pPr>
      <w:r>
        <w:t>D.从金融机构中剔除高风险业务类型.</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风险偏好声明的核心功能：界定机构愿承担的风险水平</w:t>
      </w:r>
    </w:p>
    <w:p>
      <w:pPr>
        <w:spacing w:line="360" w:lineRule="auto" w:after="40"/>
      </w:pPr>
      <w:r>
        <w:rPr>
          <w:b/>
          <w:shd w:fill="D6E4F0" w:val="clear"/>
        </w:rPr>
        <w:t>核心解析：</w:t>
      </w:r>
    </w:p>
    <w:p>
      <w:pPr>
        <w:spacing w:line="360" w:lineRule="auto" w:after="40"/>
      </w:pPr>
      <w:r>
        <w:t>风险偏好是机构在业务和战略目标范围内</w:t>
      </w:r>
      <w:r>
        <w:rPr>
          <w:b/>
        </w:rPr>
        <w:t>可接受的金融犯罪风险水平</w:t>
      </w:r>
      <w:r>
        <w:rPr>
          <w:sz w:val="15"/>
          <w:vertAlign w:val="superscript"/>
        </w:rPr>
        <w:t>P271</w:t>
      </w:r>
      <w:r>
        <w:t>。风险偏好声明定义了组织为实现目标愿意承担的风险水平</w:t>
      </w:r>
      <w:r>
        <w:rPr>
          <w:sz w:val="15"/>
          <w:vertAlign w:val="superscript"/>
        </w:rPr>
        <w:t>P243</w:t>
      </w:r>
      <w:r>
        <w:t>。题干问该声明的“目的”是什么——选项A“明确界定金融机构愿意承担的金融犯罪风险敞口水平”与教材定义完全吻合：核心词“risk level / level of risk exposure”“willing to take / acceptable”和“define”均对应教材原文的表述。</w:t>
      </w:r>
    </w:p>
    <w:p>
      <w:pPr>
        <w:spacing w:line="360" w:lineRule="auto" w:after="40"/>
      </w:pPr>
      <w:r>
        <w:rPr>
          <w:b/>
          <w:shd w:fill="D6E4F0" w:val="clear"/>
        </w:rPr>
        <w:t>教材原句：</w:t>
      </w:r>
    </w:p>
    <w:p>
      <w:pPr>
        <w:spacing w:line="360" w:lineRule="auto" w:after="40"/>
      </w:pPr>
      <w:r>
        <w:t>"Risk appetite is the level of financial crime risk acceptable to an organization, within the parameters of its business and strategic goals."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教材定义的风险偏好声明是内部治理工具，目的是指导行为、决策和风险管理实践，而非面向投资者披露。题干的“目的”在教材框架下更直接匹配A。</w:t>
      </w:r>
    </w:p>
    <w:p>
      <w:pPr>
        <w:spacing w:line="360" w:lineRule="auto" w:after="40"/>
      </w:pPr>
      <w:r>
        <w:rPr>
          <w:b/>
          <w:shd w:fill="D6E4F0" w:val="clear"/>
        </w:rPr>
        <w:t>C项错误：</w:t>
      </w:r>
    </w:p>
    <w:p>
      <w:pPr>
        <w:spacing w:line="360" w:lineRule="auto" w:after="40"/>
      </w:pPr>
      <w:r>
        <w:t>风险偏好声明定义的是机构自身愿意承担的风险水平，不是让客户了解哪些银行愿意为其提供服务。后者属于金融普惠或业务选择的范畴，与风险偏好声明的教材定义不匹配。</w:t>
      </w:r>
    </w:p>
    <w:p>
      <w:pPr>
        <w:spacing w:line="360" w:lineRule="auto" w:after="40"/>
      </w:pPr>
      <w:r>
        <w:rPr>
          <w:b/>
          <w:shd w:fill="D6E4F0" w:val="clear"/>
        </w:rPr>
        <w:t>D项错误：</w:t>
      </w:r>
    </w:p>
    <w:p>
      <w:pPr>
        <w:spacing w:line="360" w:lineRule="auto" w:after="40"/>
      </w:pPr>
      <w:r>
        <w:t>风险偏好声明是“界定可接受的风险水平”，而非“剔除高风险业务”。事实上，直接终止客户或业务关系以规避风险的行为，教材定义为“去风险化”</w:t>
      </w:r>
      <w:r>
        <w:rPr>
          <w:sz w:val="15"/>
          <w:vertAlign w:val="superscript"/>
        </w:rPr>
        <w:t>P214</w:t>
      </w:r>
      <w:r>
        <w:t>，这是风险偏好过度执行带来的问题，而非风险偏好声明本身的目的。</w:t>
      </w:r>
    </w:p>
    <w:p>
      <w:pPr>
        <w:spacing w:line="360" w:lineRule="auto" w:after="40"/>
      </w:pPr>
      <w:r>
        <w:rPr>
          <w:b/>
          <w:shd w:fill="D6E4F0" w:val="clear"/>
        </w:rPr>
        <w:t>易错提醒：</w:t>
      </w:r>
    </w:p>
    <w:p>
      <w:pPr>
        <w:spacing w:line="360" w:lineRule="auto" w:after="40"/>
      </w:pPr>
      <w:r>
        <w:t>风险偏好声明定义机构“愿意承担”多少风险，风险容忍度则在此基础上设定“量化的上下限”——前者是大方向，后者是具体边界</w:t>
      </w:r>
      <w:r>
        <w:rPr>
          <w:sz w:val="15"/>
          <w:vertAlign w:val="superscript"/>
        </w:rPr>
        <w:t>P244</w:t>
      </w:r>
      <w:r>
        <w:t>。不要把风险偏好与去风险化混淆：去风险化是直接终止业务关系以规避风险</w:t>
      </w:r>
      <w:r>
        <w:rPr>
          <w:sz w:val="15"/>
          <w:vertAlign w:val="superscript"/>
        </w:rPr>
        <w:t>P214</w:t>
      </w:r>
      <w:r>
        <w:t>，而风险偏好声明只是界定可接受范围，并不等于要把高风险业务全部剔除。</w:t>
      </w:r>
    </w:p>
    <w:p>
      <w:pPr>
        <w:spacing w:line="360" w:lineRule="auto" w:after="120"/>
      </w:pPr>
      <w:r/>
    </w:p>
    <w:p>
      <w:pPr>
        <w:spacing w:line="360" w:lineRule="auto" w:after="40"/>
      </w:pPr>
      <w:r>
        <w:t>4. 国家风险评估(NRA)可以通过以下方式影响金融机构(FI)基于风险的反洗钱和反恐怖融资方法:</w:t>
      </w:r>
    </w:p>
    <w:p>
      <w:pPr>
        <w:spacing w:line="360" w:lineRule="auto" w:after="20"/>
      </w:pPr>
      <w:r>
        <w:t>A.规定金融机构在风险评估中必须考虑哪些上游犯罪.</w:t>
      </w:r>
    </w:p>
    <w:p>
      <w:pPr>
        <w:spacing w:line="360" w:lineRule="auto" w:after="20"/>
      </w:pPr>
      <w:r>
        <w:t>B.就风险最高的客户类型和交易类型提供指导.</w:t>
      </w:r>
    </w:p>
    <w:p>
      <w:pPr>
        <w:spacing w:line="360" w:lineRule="auto" w:after="20"/>
      </w:pPr>
      <w:r>
        <w:t>C.明确规定必须实施的具体政策和程序.</w:t>
      </w:r>
    </w:p>
    <w:p>
      <w:pPr>
        <w:spacing w:line="360" w:lineRule="auto" w:after="20"/>
      </w:pPr>
      <w:r>
        <w:t>D.确定可对反洗钱违规行为处以的最高罚款金额.</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NRA的定位：识别风险、提供指导，而非规定具体制度或处罚</w:t>
      </w:r>
    </w:p>
    <w:p>
      <w:pPr>
        <w:spacing w:line="360" w:lineRule="auto" w:after="40"/>
      </w:pPr>
      <w:r>
        <w:rPr>
          <w:b/>
          <w:shd w:fill="D6E4F0" w:val="clear"/>
        </w:rPr>
        <w:t>核心解析：</w:t>
      </w:r>
    </w:p>
    <w:p>
      <w:pPr>
        <w:spacing w:line="360" w:lineRule="auto" w:after="40"/>
      </w:pPr>
      <w:r>
        <w:t>国家风险评估（NRA）是司法管辖区用于识别和评估洗钱威胁与脆弱性的文件</w:t>
      </w:r>
      <w:r>
        <w:rPr>
          <w:sz w:val="15"/>
          <w:vertAlign w:val="superscript"/>
        </w:rPr>
        <w:t>P225</w:t>
      </w:r>
      <w:r>
        <w:t>。在风险为本的框架下，NRA的核心作用是</w:t>
      </w:r>
      <w:r>
        <w:rPr>
          <w:b/>
        </w:rPr>
        <w:t>识别国家层面的洗钱与恐怖融资威胁和风险</w:t>
      </w:r>
      <w:r>
        <w:t>，并审查高风险行业和领域</w:t>
      </w:r>
      <w:r>
        <w:rPr>
          <w:sz w:val="15"/>
          <w:vertAlign w:val="superscript"/>
        </w:rPr>
        <w:t>P268</w:t>
      </w:r>
      <w:r>
        <w:t>。这意味着NRA会输出关于哪些客户类型、交易类型和行业风险更高的结论。金融机构在建立自身的风险评估体系时，会参考NRA的这些结论来</w:t>
      </w:r>
      <w:r>
        <w:rPr>
          <w:b/>
        </w:rPr>
        <w:t>识别和优先关注高风险领域</w:t>
      </w:r>
      <w:r>
        <w:t>，这正好对应了选项B所述的“就风险最高的客户类型和交易类型提供指导”。NRA本身是一种风险信息的整合和表达工具</w:t>
      </w:r>
      <w:r>
        <w:rPr>
          <w:sz w:val="15"/>
          <w:vertAlign w:val="superscript"/>
        </w:rPr>
        <w:t>P225</w:t>
      </w:r>
      <w:r>
        <w:t>，它不代替每个金融机构去制定内部制度，而是为其风险判断提供宏观依据，从而使机构的风险为本方法更聚焦。</w:t>
      </w:r>
    </w:p>
    <w:p>
      <w:pPr>
        <w:spacing w:line="360" w:lineRule="auto" w:after="40"/>
      </w:pPr>
      <w:r>
        <w:rPr>
          <w:b/>
          <w:shd w:fill="D6E4F0" w:val="clear"/>
        </w:rPr>
        <w:t>教材原句：</w:t>
      </w:r>
    </w:p>
    <w:p>
      <w:pPr>
        <w:spacing w:line="360" w:lineRule="auto" w:after="40"/>
      </w:pPr>
      <w:r>
        <w:t>"NRAs identify national-level money laundering and terror financing threats and risks. These assessments review sectors and areas with higher risks."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NRA的作用是识别和评估威胁与脆弱性，并审查高风险领域</w:t>
      </w:r>
      <w:r>
        <w:rPr>
          <w:sz w:val="15"/>
          <w:vertAlign w:val="superscript"/>
        </w:rPr>
        <w:t>P268</w:t>
      </w:r>
      <w:r>
        <w:t>，而不是“规定必须考虑哪些上游犯罪”。上游犯罪的定义和清单由FATF及各国法律确定</w:t>
      </w:r>
      <w:r>
        <w:rPr>
          <w:sz w:val="15"/>
          <w:vertAlign w:val="superscript"/>
        </w:rPr>
        <w:t>P21</w:t>
      </w:r>
      <w:r>
        <w:t>，虽然NRA会涉及对威胁的识别，但它不等同于对上游犯罪类型的强制划定。教材对NRA功能的描述更吻合提供风险指导（选项B），而非规定前置犯罪范围。</w:t>
      </w:r>
    </w:p>
    <w:p>
      <w:pPr>
        <w:spacing w:line="360" w:lineRule="auto" w:after="40"/>
      </w:pPr>
      <w:r>
        <w:rPr>
          <w:b/>
          <w:shd w:fill="D6E4F0" w:val="clear"/>
        </w:rPr>
        <w:t>C项错误：</w:t>
      </w:r>
    </w:p>
    <w:p>
      <w:pPr>
        <w:spacing w:line="360" w:lineRule="auto" w:after="40"/>
      </w:pPr>
      <w:r>
        <w:t>选项C使用“明确规定必须实施的具体政策和程序”的表达，这与教材对NRA的定位不符。教材将NRA描述为识别风险、提供信息的文件</w:t>
      </w:r>
      <w:r>
        <w:rPr>
          <w:sz w:val="15"/>
          <w:vertAlign w:val="superscript"/>
        </w:rPr>
        <w:t>P225</w:t>
      </w:r>
      <w:r>
        <w:t>，而具体的政策和程序是金融机构根据自身风险状况自行制定并量体裁衣的</w:t>
      </w:r>
      <w:r>
        <w:rPr>
          <w:sz w:val="15"/>
          <w:vertAlign w:val="superscript"/>
        </w:rPr>
        <w:t>P292、P294</w:t>
      </w:r>
      <w:r>
        <w:t>。NRA提供的是风险导向的“指导”（选项B），而非操作层面的制度强制。</w:t>
      </w:r>
    </w:p>
    <w:p>
      <w:pPr>
        <w:spacing w:line="360" w:lineRule="auto" w:after="40"/>
      </w:pPr>
      <w:r>
        <w:rPr>
          <w:b/>
          <w:shd w:fill="D6E4F0" w:val="clear"/>
        </w:rPr>
        <w:t>D项错误：</w:t>
      </w:r>
    </w:p>
    <w:p>
      <w:pPr>
        <w:spacing w:line="360" w:lineRule="auto" w:after="40"/>
      </w:pPr>
      <w:r>
        <w:t>罚款金额属于执法和处罚范畴，通常由法律法规或监管机构确定，而不是由国家风险评估（NRA）确定。相比之下，B项的“提供指导”更符合NRA作为风险识别工具的功能。</w:t>
      </w:r>
    </w:p>
    <w:p>
      <w:pPr>
        <w:spacing w:line="360" w:lineRule="auto" w:after="40"/>
      </w:pPr>
      <w:r>
        <w:rPr>
          <w:b/>
          <w:shd w:fill="D6E4F0" w:val="clear"/>
        </w:rPr>
        <w:t>易错提醒：</w:t>
      </w:r>
    </w:p>
    <w:p>
      <w:pPr>
        <w:spacing w:line="360" w:lineRule="auto" w:after="40"/>
      </w:pPr>
      <w:r>
        <w:t>注意区分“识别和评估风险的指导性文件”与“规定具体操作的政策文件”。NRA是前者，它告诉金融机构“哪里风险高”，但不替金融机构写操作规程。</w:t>
      </w:r>
    </w:p>
    <w:p>
      <w:pPr>
        <w:spacing w:line="360" w:lineRule="auto" w:after="120"/>
      </w:pPr>
      <w:r/>
    </w:p>
    <w:p>
      <w:pPr>
        <w:spacing w:line="360" w:lineRule="auto" w:after="40"/>
      </w:pPr>
      <w:r>
        <w:t>5. 基于风险的反金融犯罪（AFC）方法涉及通过以下方式了解和管理风险：</w:t>
      </w:r>
    </w:p>
    <w:p>
      <w:pPr>
        <w:spacing w:line="360" w:lineRule="auto" w:after="20"/>
      </w:pPr>
      <w:r>
        <w:t>A.对所有客户实施统一的控制措施，而不考虑其风险状况</w:t>
      </w:r>
    </w:p>
    <w:p>
      <w:pPr>
        <w:spacing w:line="360" w:lineRule="auto" w:after="20"/>
      </w:pPr>
      <w:r>
        <w:t>B.根据已识别风险的程度分配资源并实施控制措施</w:t>
      </w:r>
    </w:p>
    <w:p>
      <w:pPr>
        <w:spacing w:line="360" w:lineRule="auto" w:after="20"/>
      </w:pPr>
      <w:r>
        <w:t>C.将监管合规置于客户体验和运营效率之上</w:t>
      </w:r>
    </w:p>
    <w:p>
      <w:pPr>
        <w:spacing w:line="360" w:lineRule="auto" w:after="20"/>
      </w:pPr>
      <w:r>
        <w:t>D.依靠自动化系统来检测和缓解AFC风险</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风险为本方法（RBA）的核心定义与资源分配原则</w:t>
      </w:r>
    </w:p>
    <w:p>
      <w:pPr>
        <w:spacing w:line="360" w:lineRule="auto" w:after="40"/>
      </w:pPr>
      <w:r>
        <w:rPr>
          <w:b/>
          <w:shd w:fill="D6E4F0" w:val="clear"/>
        </w:rPr>
        <w:t>核心解析：</w:t>
      </w:r>
    </w:p>
    <w:p>
      <w:pPr>
        <w:spacing w:line="360" w:lineRule="auto" w:after="40"/>
      </w:pPr>
      <w:r>
        <w:t>风险为本方法（RBA）的核心在于“识别、评估和理解”风险，并根据风险暴露程度</w:t>
      </w:r>
      <w:r>
        <w:rPr>
          <w:b/>
        </w:rPr>
        <w:t>优先排序并采取适当措施</w:t>
      </w:r>
      <w:r>
        <w:rPr>
          <w:sz w:val="15"/>
          <w:vertAlign w:val="superscript"/>
        </w:rPr>
        <w:t>P267</w:t>
      </w:r>
      <w:r>
        <w:t>。换句话说，它不是一刀切，而是把更多资源投到更高的风险上。题干问RBA“通过什么方式了解和管理风险”，选项B“根据已识别风险的程度分配资源并实施控制措施”正好对应了这一核心逻辑：先识别风险程度，再按程度</w:t>
      </w:r>
      <w:r>
        <w:rPr>
          <w:b/>
        </w:rPr>
        <w:t>分配资源和控制</w:t>
      </w:r>
      <w:r>
        <w:t>。教材在</w:t>
      </w:r>
      <w:r>
        <w:rPr>
          <w:sz w:val="15"/>
          <w:vertAlign w:val="superscript"/>
        </w:rPr>
        <w:t>P268</w:t>
      </w:r>
      <w:r>
        <w:t>也明确指出，要“根据风险水平做出明智决策，有效分配资源”。另外，教材</w:t>
      </w:r>
      <w:r>
        <w:rPr>
          <w:sz w:val="15"/>
          <w:vertAlign w:val="superscript"/>
        </w:rPr>
        <w:t>P276</w:t>
      </w:r>
      <w:r>
        <w:t>也强调，基于风险的方法意味着“对最高风险投入更多资源”。因此，B项是RBA定义的直接体现。</w:t>
      </w:r>
    </w:p>
    <w:p>
      <w:pPr>
        <w:spacing w:line="360" w:lineRule="auto" w:after="40"/>
      </w:pPr>
      <w:r>
        <w:rPr>
          <w:b/>
          <w:shd w:fill="D6E4F0" w:val="clear"/>
        </w:rPr>
        <w:t>教材原句：</w:t>
      </w:r>
    </w:p>
    <w:p>
      <w:pPr>
        <w:spacing w:line="360" w:lineRule="auto" w:after="40"/>
      </w:pPr>
      <w:r>
        <w:t>"An RBA requires countries and financial institutions to prioritize risks and apply appropriate measures based on their level of exposure."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选项A主张“不考虑风险状况”施行统一控制，这与RBA“基于风险暴露程度”采取措施的原则完全相反。RBA的前提恰恰是风险各不相同，需要区别对待，而非一刀切。</w:t>
      </w:r>
    </w:p>
    <w:p>
      <w:pPr>
        <w:spacing w:line="360" w:lineRule="auto" w:after="40"/>
      </w:pPr>
      <w:r>
        <w:rPr>
          <w:b/>
          <w:shd w:fill="D6E4F0" w:val="clear"/>
        </w:rPr>
        <w:t>C项错误：</w:t>
      </w:r>
    </w:p>
    <w:p>
      <w:pPr>
        <w:spacing w:line="360" w:lineRule="auto" w:after="40"/>
      </w:pPr>
      <w:r>
        <w:t>教材指出金融犯罪防控风险评估旨在确保合规、加强风险管理并维持健康可持续的业务</w:t>
      </w:r>
      <w:r>
        <w:rPr>
          <w:sz w:val="15"/>
          <w:vertAlign w:val="superscript"/>
        </w:rPr>
        <w:t>P269</w:t>
      </w:r>
      <w:r>
        <w:t>。这并未将合规与客户体验、运营效率对立起来，更未要求“将合规置于……之上”。题干更直接匹配B项“按风险分配资源”这一核心机制，而非合规与运营的优先级排序。</w:t>
      </w:r>
    </w:p>
    <w:p>
      <w:pPr>
        <w:spacing w:line="360" w:lineRule="auto" w:after="40"/>
      </w:pPr>
      <w:r>
        <w:rPr>
          <w:b/>
          <w:shd w:fill="D6E4F0" w:val="clear"/>
        </w:rPr>
        <w:t>D项错误：</w:t>
      </w:r>
    </w:p>
    <w:p>
      <w:pPr>
        <w:spacing w:line="360" w:lineRule="auto" w:after="40"/>
      </w:pPr>
      <w:r>
        <w:t>自动化系统是执行风险控制的手段之一，而题干问的是RBA“了解和管理风险”的整体方法逻辑。RBA的核心是先识别、评估风险，再分配资源；自动化只是资源分配后可能采用的具体工具，不如B项直接反映RBA的方法论本质。</w:t>
      </w:r>
    </w:p>
    <w:p>
      <w:pPr>
        <w:spacing w:line="360" w:lineRule="auto" w:after="40"/>
      </w:pPr>
      <w:r>
        <w:rPr>
          <w:b/>
          <w:shd w:fill="D6E4F0" w:val="clear"/>
        </w:rPr>
        <w:t>易错提醒：</w:t>
      </w:r>
    </w:p>
    <w:p>
      <w:pPr>
        <w:spacing w:line="360" w:lineRule="auto" w:after="40"/>
      </w:pPr>
      <w:r>
        <w:t>“统一控制”与“差异化措施”是易混淆点。RBA的精髓在于后者：风险越高，投入越多；风险越低，措施可相应简化。</w:t>
      </w:r>
      <w:r>
        <w:rPr>
          <w:sz w:val="15"/>
          <w:vertAlign w:val="superscript"/>
        </w:rPr>
        <w:t>P267</w:t>
      </w:r>
      <w:r>
        <w:t>明确指出“并非所有风险都适用于每个机构”，此即差异化根源。</w:t>
      </w:r>
    </w:p>
    <w:p>
      <w:pPr>
        <w:spacing w:line="360" w:lineRule="auto" w:after="120"/>
      </w:pPr>
      <w:r/>
    </w:p>
    <w:p>
      <w:pPr>
        <w:spacing w:line="360" w:lineRule="auto" w:after="40"/>
      </w:pPr>
      <w:r>
        <w:t>6. 国家和行业风险评估应如何影响组织的风险基础方法和内部风险评估？</w:t>
      </w:r>
    </w:p>
    <w:p>
      <w:pPr>
        <w:spacing w:line="360" w:lineRule="auto" w:after="20"/>
      </w:pPr>
      <w:r>
        <w:t>A.应当恰当地引用这些信息，并将其纳入组织的风险评估中，以定制强化尽职调查（EDD）程序，并有效分配资源</w:t>
      </w:r>
    </w:p>
    <w:p>
      <w:pPr>
        <w:spacing w:line="360" w:lineRule="auto" w:after="20"/>
      </w:pPr>
      <w:r>
        <w:t>B.它们提供了一般性的指导，但无需直接考虑，因为内部风险因素更为重要</w:t>
      </w:r>
    </w:p>
    <w:p>
      <w:pPr>
        <w:spacing w:line="360" w:lineRule="auto" w:after="20"/>
      </w:pPr>
      <w:r>
        <w:t>C.它们仅应针对高风险客户进行参考，因为它们是为最坏的情况而设计的</w:t>
      </w:r>
    </w:p>
    <w:p>
      <w:pPr>
        <w:spacing w:line="360" w:lineRule="auto" w:after="20"/>
      </w:pPr>
      <w:r>
        <w:t>D.它们主要面向监管机构，不应影响组织的风险评估</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国家/行业风险评估如何纳入组织内部风险评估</w:t>
      </w:r>
    </w:p>
    <w:p>
      <w:pPr>
        <w:spacing w:line="360" w:lineRule="auto" w:after="40"/>
      </w:pPr>
      <w:r>
        <w:rPr>
          <w:b/>
          <w:shd w:fill="D6E4F0" w:val="clear"/>
        </w:rPr>
        <w:t>核心解析：</w:t>
      </w:r>
    </w:p>
    <w:p>
      <w:pPr>
        <w:spacing w:line="360" w:lineRule="auto" w:after="40"/>
      </w:pPr>
      <w:r>
        <w:t>企业全面风险评估（EWRA）分析并评估组织内部识别的洗钱与恐怖融资风险，根据组织自身情况定制，考虑客户、地域、产品和渠道特征</w:t>
      </w:r>
      <w:r>
        <w:rPr>
          <w:sz w:val="15"/>
          <w:vertAlign w:val="superscript"/>
        </w:rPr>
        <w:t>P268</w:t>
      </w:r>
      <w:r>
        <w:t>。在制定EWRA时，组织应将</w:t>
      </w:r>
      <w:r>
        <w:rPr>
          <w:b/>
        </w:rPr>
        <w:t>国家和行业风险评估（NRA/SRA）的见解纳入考虑</w:t>
      </w:r>
      <w:r>
        <w:t>——“EWRAs should include consideration of the risks identified in the NRAs and SRAs for any jurisdiction in which they do business or plan to do business”</w:t>
      </w:r>
      <w:r>
        <w:rPr>
          <w:sz w:val="15"/>
          <w:vertAlign w:val="superscript"/>
        </w:rPr>
        <w:t>P268</w:t>
      </w:r>
      <w:r>
        <w:t>。这意味着NRA和SRA不是外部参考文件，而是EWRA的输入要素。借助这些外部评估的洞察，组织可以更准确地管理内部风险，并根据风险水平做出明智决策，有效分配资源——“Allocate resources efficiently by making informed decisions based on risk levels”</w:t>
      </w:r>
      <w:r>
        <w:rPr>
          <w:sz w:val="15"/>
          <w:vertAlign w:val="superscript"/>
        </w:rPr>
        <w:t>P268</w:t>
      </w:r>
      <w:r>
        <w:t>。题干问的是国家和行业风险评估应如何影响组织的风险为本方法和内部风险评估，选项A“恰当地引用并纳入，以定制EDD程序并有效分配资源”正好对应了教材中EWRA纳入NRA/SRA见解、并据此分配资源这一逻辑链条。</w:t>
      </w:r>
    </w:p>
    <w:p>
      <w:pPr>
        <w:spacing w:line="360" w:lineRule="auto" w:after="40"/>
      </w:pPr>
      <w:r>
        <w:rPr>
          <w:b/>
          <w:shd w:fill="D6E4F0" w:val="clear"/>
        </w:rPr>
        <w:t>教材原句：</w:t>
      </w:r>
    </w:p>
    <w:p>
      <w:pPr>
        <w:spacing w:line="360" w:lineRule="auto" w:after="40"/>
      </w:pPr>
      <w:r>
        <w:t>"EWRAs should include consideration of the risks identified in the NRAs and SRAs for any jurisdiction in which they do business or plan to do business."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选项B称NRA/SRA提供一般性指导但无需直接考虑，因为内部因素更重要。然而教材明确指出EWRA应将NRA/SRA识别的风险纳入考虑</w:t>
      </w:r>
      <w:r>
        <w:rPr>
          <w:sz w:val="15"/>
          <w:vertAlign w:val="superscript"/>
        </w:rPr>
        <w:t>P268</w:t>
      </w:r>
      <w:r>
        <w:t>，外部评估与内部因素是整合关系而非替代关系，题干更直接支持纳入而非忽略。</w:t>
      </w:r>
    </w:p>
    <w:p>
      <w:pPr>
        <w:spacing w:line="360" w:lineRule="auto" w:after="40"/>
      </w:pPr>
      <w:r>
        <w:rPr>
          <w:b/>
          <w:shd w:fill="D6E4F0" w:val="clear"/>
        </w:rPr>
        <w:t>C项错误：</w:t>
      </w:r>
    </w:p>
    <w:p>
      <w:pPr>
        <w:spacing w:line="360" w:lineRule="auto" w:after="40"/>
      </w:pPr>
      <w:r>
        <w:t>选项C将NRA/SRA的适用范围限定为“高风险客户”。但NRA是对整个司法管辖区的评估，SRA是对整个行业的评估，它们在EWRA层面被纳入考量时并不局限于高风险客户群体，风险为本方法要求对所有客户按其风险水平采取相应措施</w:t>
      </w:r>
      <w:r>
        <w:rPr>
          <w:sz w:val="15"/>
          <w:vertAlign w:val="superscript"/>
        </w:rPr>
        <w:t>P285</w:t>
      </w:r>
      <w:r>
        <w:t>，而非仅为高风险客户参考。</w:t>
      </w:r>
    </w:p>
    <w:p>
      <w:pPr>
        <w:spacing w:line="360" w:lineRule="auto" w:after="40"/>
      </w:pPr>
      <w:r>
        <w:rPr>
          <w:b/>
          <w:shd w:fill="D6E4F0" w:val="clear"/>
        </w:rPr>
        <w:t>D项错误：</w:t>
      </w:r>
    </w:p>
    <w:p>
      <w:pPr>
        <w:spacing w:line="360" w:lineRule="auto" w:after="40"/>
      </w:pPr>
      <w:r>
        <w:t>选项D称NRA/SRA主要面向监管机构、不应影响组织风险评估。教材指出各类风险评估应相互关联以形成有效的风险为本框架</w:t>
      </w:r>
      <w:r>
        <w:rPr>
          <w:sz w:val="15"/>
          <w:vertAlign w:val="superscript"/>
        </w:rPr>
        <w:t>P268</w:t>
      </w:r>
      <w:r>
        <w:t>，且NRA/SRA帮助组织管理内部风险</w:t>
      </w:r>
      <w:r>
        <w:rPr>
          <w:sz w:val="15"/>
          <w:vertAlign w:val="superscript"/>
        </w:rPr>
        <w:t>P268</w:t>
      </w:r>
      <w:r>
        <w:t>，不限于监管机构使用。组织在开展EWRA时必须纳入这些外部评估的见解，而非将其排除在外。</w:t>
      </w:r>
    </w:p>
    <w:p>
      <w:pPr>
        <w:spacing w:line="360" w:lineRule="auto" w:after="40"/>
      </w:pPr>
      <w:r>
        <w:rPr>
          <w:b/>
          <w:shd w:fill="D6E4F0" w:val="clear"/>
        </w:rPr>
        <w:t>易错提醒：</w:t>
      </w:r>
    </w:p>
    <w:p>
      <w:pPr>
        <w:spacing w:line="360" w:lineRule="auto" w:after="40"/>
      </w:pPr>
      <w:r>
        <w:t>NRA/SRA提供的是宏观层面的风险画像，容易让人误以为它们只是“大背景”而与机构自身风险评估无关。教材的区分标准是：NRA/SRA被EWRA“纳入”（include consideration of），而非“仅供参考”（general guidance）。它们是输入要素，不是可考虑可不考虑的外部文件。</w:t>
      </w:r>
    </w:p>
    <w:p>
      <w:pPr>
        <w:spacing w:line="360" w:lineRule="auto" w:after="120"/>
      </w:pPr>
      <w:r/>
    </w:p>
    <w:p>
      <w:pPr>
        <w:spacing w:line="360" w:lineRule="auto" w:after="40"/>
      </w:pPr>
      <w:r>
        <w:t>7. 一家跨国公司正在考虑进入一个长期存在政治不稳定和腐败问题的新市场。从金融犯罪的角度来看，哪种策略在缓解与这种扩张相关的声誉风险方面最为有效？</w:t>
      </w:r>
    </w:p>
    <w:p>
      <w:pPr>
        <w:spacing w:line="360" w:lineRule="auto" w:after="20"/>
      </w:pPr>
      <w:r>
        <w:t>A.确保在企业范围风险评估（EWRA）中已将管辖权风险及其他相关因素纳入考量，且剩余风险在公司的风险承受范围内</w:t>
      </w:r>
    </w:p>
    <w:p>
      <w:pPr>
        <w:spacing w:line="360" w:lineRule="auto" w:after="20"/>
      </w:pPr>
      <w:r>
        <w:t>B.与当地成熟企业合作，借助其知识和人脉，同时共担风险</w:t>
      </w:r>
    </w:p>
    <w:p>
      <w:pPr>
        <w:spacing w:line="360" w:lineRule="auto" w:after="20"/>
      </w:pPr>
      <w:r>
        <w:t>C.确保公司与当地政府官员保持密切联系，以影响政策制定并避免受到负面审查</w:t>
      </w:r>
    </w:p>
    <w:p>
      <w:pPr>
        <w:spacing w:line="360" w:lineRule="auto" w:after="20"/>
      </w:pPr>
      <w:r>
        <w:t>D.致力于开放沟通、道德实践和社区参与，以与利益相关者建立信任</w:t>
      </w:r>
    </w:p>
    <w:p>
      <w:pPr>
        <w:spacing w:line="360" w:lineRule="auto" w:after="20"/>
      </w:pPr>
      <w:r>
        <w:t>E.尽可能减少公司在该国的直接存在，以降低潜在风险的影响</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EWRA如何为高风险地区的业务扩张决策提供风险依据</w:t>
      </w:r>
    </w:p>
    <w:p>
      <w:pPr>
        <w:spacing w:line="360" w:lineRule="auto" w:after="40"/>
      </w:pPr>
      <w:r>
        <w:rPr>
          <w:b/>
          <w:shd w:fill="D6E4F0" w:val="clear"/>
        </w:rPr>
        <w:t>核心解析：</w:t>
      </w:r>
    </w:p>
    <w:p>
      <w:pPr>
        <w:spacing w:line="360" w:lineRule="auto" w:after="40"/>
      </w:pPr>
      <w:r>
        <w:t>企业全面风险评估（EWRA）是分析并评估组织内部洗钱与恐怖融资风险的工具</w:t>
      </w:r>
      <w:r>
        <w:rPr>
          <w:sz w:val="15"/>
          <w:vertAlign w:val="superscript"/>
        </w:rPr>
        <w:t>P268</w:t>
      </w:r>
      <w:r>
        <w:t>，它根据组织自身情况定制，考虑地域、客户、产品等特征</w:t>
      </w:r>
      <w:r>
        <w:rPr>
          <w:sz w:val="15"/>
          <w:vertAlign w:val="superscript"/>
        </w:rPr>
        <w:t>P268</w:t>
      </w:r>
      <w:r>
        <w:t>。其标准流程是先确定固有风险，再评估控制有效性，最终计算出剩余风险</w:t>
      </w:r>
      <w:r>
        <w:rPr>
          <w:sz w:val="15"/>
          <w:vertAlign w:val="superscript"/>
        </w:rPr>
        <w:t>P268</w:t>
      </w:r>
      <w:r>
        <w:t>。题干的关键在于，这是一次“正在考虑中”的扩张——还没有真正迈入那个腐败严重的市场。在这个决策阶段，EWRA的直接用途就是辅助业务决策：企业领导者可以利用EWRA</w:t>
      </w:r>
      <w:r>
        <w:rPr>
          <w:b/>
        </w:rPr>
        <w:t>评估潜在风险和成本，从而就是否扩张做出明智决定</w:t>
      </w:r>
      <w:r>
        <w:rPr>
          <w:sz w:val="15"/>
          <w:vertAlign w:val="superscript"/>
        </w:rPr>
        <w:t>P268</w:t>
      </w:r>
      <w:r>
        <w:t>。选项A精确地卡住了这个节点——把管辖权风险（即题干中政治不稳定且腐败的风险）纳入EWRA，并确认剩余风险在公司的风险承受范围内。这意味着风险经过了系统化评估、对照内部风险偏好进行了衡量，而非直接跳到“进入后怎么办”的具体操作手段。题干问的是“从金融犯罪角度缓解声誉风险最有效的策略”，在进入之前先评估、再决定，是教材框架下最上游、最前置的控制环节，也是其他所有操作（如后续监控、合作模式选择）的基础。相比之下，其他选项更像是进入市场之后的具体做法，并没有触及决策前的风险评估核心。</w:t>
      </w:r>
    </w:p>
    <w:p>
      <w:pPr>
        <w:spacing w:line="360" w:lineRule="auto" w:after="40"/>
      </w:pPr>
      <w:r>
        <w:rPr>
          <w:b/>
          <w:shd w:fill="D6E4F0" w:val="clear"/>
        </w:rPr>
        <w:t>教材原句：</w:t>
      </w:r>
    </w:p>
    <w:p>
      <w:pPr>
        <w:spacing w:line="360" w:lineRule="auto" w:after="40"/>
      </w:pPr>
      <w:r>
        <w:t>"Business leaders can use the EWRA to assess potential risks and estimate the cost to serve. This helps them make informed decisions about whether to expand or pursue new ventures."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在高风险地区使用中介的跨国公司面临更高的贿赂风险</w:t>
      </w:r>
      <w:r>
        <w:rPr>
          <w:sz w:val="15"/>
          <w:vertAlign w:val="superscript"/>
        </w:rPr>
        <w:t>P27</w:t>
      </w:r>
      <w:r>
        <w:t>，与当地企业合作虽然看似能共享风险，但第三方的知识和人脉本身就可能是腐败的通道。题干情景更需要一个在进入前评估风险的工具（EWRA），而非直接跳到一个本身可能引入新风险的操作手段。</w:t>
      </w:r>
    </w:p>
    <w:p>
      <w:pPr>
        <w:spacing w:line="360" w:lineRule="auto" w:after="40"/>
      </w:pPr>
      <w:r>
        <w:rPr>
          <w:b/>
          <w:shd w:fill="D6E4F0" w:val="clear"/>
        </w:rPr>
        <w:t>C项错误：</w:t>
      </w:r>
    </w:p>
    <w:p>
      <w:pPr>
        <w:spacing w:line="360" w:lineRule="auto" w:after="40"/>
      </w:pPr>
      <w:r>
        <w:t>贿赂指给予或收受金钱或资产以换取权力滥用</w:t>
      </w:r>
      <w:r>
        <w:rPr>
          <w:sz w:val="15"/>
          <w:vertAlign w:val="superscript"/>
        </w:rPr>
        <w:t>P25</w:t>
      </w:r>
      <w:r>
        <w:t>，而政府官员尤其容易腐败</w:t>
      </w:r>
      <w:r>
        <w:rPr>
          <w:sz w:val="15"/>
          <w:vertAlign w:val="superscript"/>
        </w:rPr>
        <w:t>P25</w:t>
      </w:r>
      <w:r>
        <w:t>。“与政府官员保持密切联系以影响政策并避免审查”在教材框架下本身就带有腐败风险的表征，这与题干所要求的“缓解声誉风险”方向相反。</w:t>
      </w:r>
    </w:p>
    <w:p>
      <w:pPr>
        <w:spacing w:line="360" w:lineRule="auto" w:after="40"/>
      </w:pPr>
      <w:r>
        <w:rPr>
          <w:b/>
          <w:shd w:fill="D6E4F0" w:val="clear"/>
        </w:rPr>
        <w:t>D项错误：</w:t>
      </w:r>
    </w:p>
    <w:p>
      <w:pPr>
        <w:spacing w:line="360" w:lineRule="auto" w:after="40"/>
      </w:pPr>
      <w:r>
        <w:t>开放沟通与道德实践是良好的企业公民行为，但题干明确问“从金融犯罪角度”哪种策略最有效。该选项缺乏EWRA那样系统的风险识别与量化框架，更像是一个通用的公共关系策略。在教材的证据框架中，它不直接处理金融犯罪风险下的声誉风险决策，与题干的匹配度不如通过EWRA进行定量决策来得直接。</w:t>
      </w:r>
    </w:p>
    <w:p>
      <w:pPr>
        <w:spacing w:line="360" w:lineRule="auto" w:after="40"/>
      </w:pPr>
      <w:r>
        <w:rPr>
          <w:b/>
          <w:shd w:fill="D6E4F0" w:val="clear"/>
        </w:rPr>
        <w:t>E项错误：</w:t>
      </w:r>
    </w:p>
    <w:p>
      <w:pPr>
        <w:spacing w:line="360" w:lineRule="auto" w:after="40"/>
      </w:pPr>
      <w:r>
        <w:t>完全规避特定风险确实能最小化对高风险领域的敞口</w:t>
      </w:r>
      <w:r>
        <w:rPr>
          <w:sz w:val="15"/>
          <w:vertAlign w:val="superscript"/>
        </w:rPr>
        <w:t>P273</w:t>
      </w:r>
      <w:r>
        <w:t>，这作为一种风险偏好声明（零容忍）是存在的。但题干问的是“正在考虑进入”阶段的“最有效”策略，EWRA提供的是一个先评估再决定的路径，而直接最小化存在相当于在未完成系统评估时就做出了方向性决策，不如A在决策逻辑上更靠前、更完整。</w:t>
      </w:r>
    </w:p>
    <w:p>
      <w:pPr>
        <w:spacing w:line="360" w:lineRule="auto" w:after="120"/>
      </w:pPr>
      <w:r/>
    </w:p>
    <w:p>
      <w:pPr>
        <w:spacing w:line="360" w:lineRule="auto" w:after="40"/>
      </w:pPr>
      <w:r>
        <w:t>8. 采用基于风险的方法设计有效的控制框架的第一步是什么？</w:t>
      </w:r>
    </w:p>
    <w:p>
      <w:pPr>
        <w:spacing w:line="360" w:lineRule="auto" w:after="20"/>
      </w:pPr>
      <w:r>
        <w:t>A.建立风险控制机制</w:t>
      </w:r>
    </w:p>
    <w:p>
      <w:pPr>
        <w:spacing w:line="360" w:lineRule="auto" w:after="20"/>
      </w:pPr>
      <w:r>
        <w:t>B.评估风险控制措施</w:t>
      </w:r>
    </w:p>
    <w:p>
      <w:pPr>
        <w:spacing w:line="360" w:lineRule="auto" w:after="20"/>
      </w:pPr>
      <w:r>
        <w:t>C.持续的风险监测</w:t>
      </w:r>
    </w:p>
    <w:p>
      <w:pPr>
        <w:spacing w:line="360" w:lineRule="auto" w:after="20"/>
      </w:pPr>
      <w:r>
        <w:t>D.进行风险评估</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风险为本控制框架中风险评估与控制评价的先后顺序</w:t>
      </w:r>
    </w:p>
    <w:p>
      <w:pPr>
        <w:spacing w:line="360" w:lineRule="auto" w:after="40"/>
      </w:pPr>
      <w:r>
        <w:rPr>
          <w:b/>
          <w:shd w:fill="D6E4F0" w:val="clear"/>
        </w:rPr>
        <w:t>核心解析：</w:t>
      </w:r>
    </w:p>
    <w:p>
      <w:pPr>
        <w:spacing w:line="360" w:lineRule="auto" w:after="40"/>
      </w:pPr>
      <w:r>
        <w:t>风险为本方法先识别、评估和理解洗钱及恐怖融资风险，再制定适当的风险缓解措施</w:t>
      </w:r>
      <w:r>
        <w:rPr>
          <w:sz w:val="15"/>
          <w:vertAlign w:val="superscript"/>
        </w:rPr>
        <w:t>P270</w:t>
      </w:r>
      <w:r>
        <w:t>；相应的风险管理流程也将识别、评估风险置于制定控制和监测策略之前</w:t>
      </w:r>
      <w:r>
        <w:rPr>
          <w:sz w:val="15"/>
          <w:vertAlign w:val="superscript"/>
        </w:rPr>
        <w:t>P271</w:t>
      </w:r>
      <w:r>
        <w:t>。企业全面风险评估的具体顺序是：</w:t>
      </w:r>
      <w:r>
        <w:rPr>
          <w:b/>
        </w:rPr>
        <w:t>确定固有风险、评估控制有效性、计算剩余风险、制定针对最高风险的行动计划</w:t>
      </w:r>
      <w:r>
        <w:rPr>
          <w:sz w:val="15"/>
          <w:vertAlign w:val="superscript"/>
        </w:rPr>
        <w:t>P268</w:t>
      </w:r>
      <w:r>
        <w:t>。因此，无论机构是否已经存在控制，都必须先确定和评估所面对的固有风险，题干所问的第一步应是D“进行风险评估”。</w:t>
      </w:r>
    </w:p>
    <w:p>
      <w:pPr>
        <w:spacing w:line="360" w:lineRule="auto" w:after="40"/>
      </w:pPr>
      <w:r>
        <w:t>风险评估能够帮助组织了解风险类型及其潜在影响</w:t>
      </w:r>
      <w:r>
        <w:rPr>
          <w:sz w:val="15"/>
          <w:vertAlign w:val="superscript"/>
        </w:rPr>
        <w:t>P280</w:t>
      </w:r>
      <w:r>
        <w:t>。在尚未识别和评估固有风险时，机构既不能有针对性地建立控制，也不能准确判断现有控制是否足以缓解相关风险。</w:t>
      </w:r>
    </w:p>
    <w:p>
      <w:pPr>
        <w:spacing w:line="360" w:lineRule="auto" w:after="40"/>
      </w:pPr>
      <w:r>
        <w:rPr>
          <w:b/>
          <w:shd w:fill="D6E4F0" w:val="clear"/>
        </w:rPr>
        <w:t>教材原句：</w:t>
      </w:r>
    </w:p>
    <w:p>
      <w:pPr>
        <w:spacing w:line="360" w:lineRule="auto" w:after="40"/>
      </w:pPr>
      <w:r>
        <w:t>"The process begins by establishing inherent risks, assessing the effectiveness of controls, computing the residual risk, and obtaining a clear action plan on mitigating the highest risks."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建立风险控制应以已经识别和评估的风险为依据。教材将制定控制策略置于风险识别和评估之后</w:t>
      </w:r>
      <w:r>
        <w:rPr>
          <w:sz w:val="15"/>
          <w:vertAlign w:val="superscript"/>
        </w:rPr>
        <w:t>P271</w:t>
      </w:r>
      <w:r>
        <w:t>，因此A不是控制框架设计的第一步。</w:t>
      </w:r>
    </w:p>
    <w:p>
      <w:pPr>
        <w:spacing w:line="360" w:lineRule="auto" w:after="40"/>
      </w:pPr>
      <w:r>
        <w:rPr>
          <w:b/>
          <w:shd w:fill="D6E4F0" w:val="clear"/>
        </w:rPr>
        <w:t>B项错误：</w:t>
      </w:r>
    </w:p>
    <w:p>
      <w:pPr>
        <w:spacing w:line="360" w:lineRule="auto" w:after="40"/>
      </w:pPr>
      <w:r>
        <w:t>评估风险控制措施是判断现有控制对固有风险的缓解效果。教材明确将“确定固有风险”置于“评估控制有效性”之前</w:t>
      </w:r>
      <w:r>
        <w:rPr>
          <w:sz w:val="15"/>
          <w:vertAlign w:val="superscript"/>
        </w:rPr>
        <w:t>P268</w:t>
      </w:r>
      <w:r>
        <w:t>，所以即使机构已经存在控制，B仍不是第一步。</w:t>
      </w:r>
    </w:p>
    <w:p>
      <w:pPr>
        <w:spacing w:line="360" w:lineRule="auto" w:after="40"/>
      </w:pPr>
      <w:r>
        <w:rPr>
          <w:b/>
          <w:shd w:fill="D6E4F0" w:val="clear"/>
        </w:rPr>
        <w:t>C项错误：</w:t>
      </w:r>
    </w:p>
    <w:p>
      <w:pPr>
        <w:spacing w:line="360" w:lineRule="auto" w:after="40"/>
      </w:pPr>
      <w:r>
        <w:t>持续风险监测属于风险识别、评估并制定控制策略后的持续活动</w:t>
      </w:r>
      <w:r>
        <w:rPr>
          <w:sz w:val="15"/>
          <w:vertAlign w:val="superscript"/>
        </w:rPr>
        <w:t>P271</w:t>
      </w:r>
      <w:r>
        <w:t>。必须先确定风险，才能确定后续监测的重点。</w:t>
      </w:r>
    </w:p>
    <w:p>
      <w:pPr>
        <w:spacing w:line="360" w:lineRule="auto" w:after="40"/>
      </w:pPr>
      <w:r>
        <w:rPr>
          <w:b/>
          <w:shd w:fill="D6E4F0" w:val="clear"/>
        </w:rPr>
        <w:t>易错提醒：</w:t>
      </w:r>
    </w:p>
    <w:p>
      <w:pPr>
        <w:spacing w:line="360" w:lineRule="auto" w:after="40"/>
      </w:pPr>
      <w:r>
        <w:t>“进行风险评估”评估的是机构面临的固有风险；“评估风险控制措施”评价的是现有控制对这些风险的缓解效果。两者的区别不是风险评估开始时“有没有控制”，而是评价顺序：先确定固有风险，再评价控制有效性，随后计算剩余风险并制定行动计划</w:t>
      </w:r>
      <w:r>
        <w:rPr>
          <w:sz w:val="15"/>
          <w:vertAlign w:val="superscript"/>
        </w:rPr>
        <w:t>P268</w:t>
      </w:r>
      <w:r>
        <w:t>。</w:t>
      </w:r>
    </w:p>
    <w:p>
      <w:pPr>
        <w:spacing w:line="360" w:lineRule="auto" w:after="120"/>
      </w:pPr>
      <w:r/>
    </w:p>
    <w:p>
      <w:pPr>
        <w:spacing w:line="360" w:lineRule="auto" w:after="40"/>
      </w:pPr>
      <w:r>
        <w:t>9. 对于一家在欧盟设立且在欧盟以外高风险第三国设有分支机构的银行，作为基于风险的方法（RBA）来管理反洗钱/打击资助恐怖主义（AML/CFT）风险的一部分，哪项控制措施最有效？</w:t>
      </w:r>
    </w:p>
    <w:p>
      <w:pPr>
        <w:spacing w:line="360" w:lineRule="auto" w:after="20"/>
      </w:pPr>
      <w:r>
        <w:t>A.完全依赖高风险第三国的中央受益所有人登记册记录来确定所有客户的最终受益所有人</w:t>
      </w:r>
    </w:p>
    <w:p>
      <w:pPr>
        <w:spacing w:line="360" w:lineRule="auto" w:after="20"/>
      </w:pPr>
      <w:r>
        <w:t>B.根据风险评估后每个客户所构成的风险程度，采取有针对性的尽职调查措施</w:t>
      </w:r>
    </w:p>
    <w:p>
      <w:pPr>
        <w:spacing w:line="360" w:lineRule="auto" w:after="20"/>
      </w:pPr>
      <w:r>
        <w:t>C.实时监控每笔跨境交易，鉴于该国风险等级，对所有交易进行标记以加强审查</w:t>
      </w:r>
    </w:p>
    <w:p>
      <w:pPr>
        <w:spacing w:line="360" w:lineRule="auto" w:after="20"/>
      </w:pPr>
      <w:r>
        <w:t>D.对高风险第三国分支机构的所有客户自动采取强化的客户尽职调查措施，不论其风险等级如何</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风险为本方法的核心：按风险程度匹配措施，不成比例或一刀切均不符合RBA</w:t>
      </w:r>
    </w:p>
    <w:p>
      <w:pPr>
        <w:spacing w:line="360" w:lineRule="auto" w:after="40"/>
      </w:pPr>
      <w:r>
        <w:rPr>
          <w:b/>
          <w:shd w:fill="D6E4F0" w:val="clear"/>
        </w:rPr>
        <w:t>核心解析：</w:t>
      </w:r>
    </w:p>
    <w:p>
      <w:pPr>
        <w:spacing w:line="360" w:lineRule="auto" w:after="40"/>
      </w:pPr>
      <w:r>
        <w:t>风险为本方法（RBA）要求机构</w:t>
      </w:r>
      <w:r>
        <w:rPr>
          <w:b/>
        </w:rPr>
        <w:t>识别、评估和理解洗钱/恐怖融资风险，并采取适当措施有效缓解风险</w:t>
      </w:r>
      <w:r>
        <w:rPr>
          <w:sz w:val="15"/>
          <w:vertAlign w:val="superscript"/>
        </w:rPr>
        <w:t>P270</w:t>
      </w:r>
      <w:r>
        <w:t>；准确判断客户潜在金融犯罪风险，是采用RBA的重要前提</w:t>
      </w:r>
      <w:r>
        <w:rPr>
          <w:sz w:val="15"/>
          <w:vertAlign w:val="superscript"/>
        </w:rPr>
        <w:t>P271</w:t>
      </w:r>
      <w:r>
        <w:t>。高风险司法管辖区是需要纳入评估的风险因素：FATF相关要求提出，应对与其认定的高风险司法管辖区内个人或机构之间的业务关系和交易实施强化尽职调查</w:t>
      </w:r>
      <w:r>
        <w:rPr>
          <w:sz w:val="15"/>
          <w:vertAlign w:val="superscript"/>
        </w:rPr>
        <w:t>P148</w:t>
      </w:r>
      <w:r>
        <w:t>。但题干选项D的范围更宽，它要求仅凭分支机构所在地，对“所有客户”在“不论其风险等级”的情况下自动采取EDD，跳过了客户风险判断。相比之下，B明确包含“风险评估后”和“根据每个客户的风险程度”两个步骤，与教材所述按照风险暴露程度采取适当措施、对较高风险客户实施EDD并加强监控的逻辑完整对应</w:t>
      </w:r>
      <w:r>
        <w:rPr>
          <w:sz w:val="15"/>
          <w:vertAlign w:val="superscript"/>
        </w:rPr>
        <w:t>P267、P270</w:t>
      </w:r>
      <w:r>
        <w:t>。因此，本题按RBA原则应选B；高风险国家因素应提高审查强度，但不能把D中</w:t>
      </w:r>
      <w:r>
        <w:rPr>
          <w:b/>
        </w:rPr>
        <w:t>无视风险等级的一刀切表述</w:t>
      </w:r>
      <w:r>
        <w:t>当作RBA本身。</w:t>
      </w:r>
    </w:p>
    <w:p>
      <w:pPr>
        <w:spacing w:line="360" w:lineRule="auto" w:after="40"/>
      </w:pPr>
      <w:r>
        <w:rPr>
          <w:b/>
          <w:shd w:fill="D6E4F0" w:val="clear"/>
        </w:rPr>
        <w:t>教材原句：</w:t>
      </w:r>
    </w:p>
    <w:p>
      <w:pPr>
        <w:spacing w:line="360" w:lineRule="auto" w:after="40"/>
      </w:pPr>
      <w:r>
        <w:t>"A risk-based approach (RBA) is the process of identifying, assessing, and understanding the ML/TF risks to which organizations are exposed and taking appropriate measures to mitigate those risks effectively."</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题干的核心是“管理AML/CFT风险”而非“获取受益所有人信息的手段”。教材要求以风险为本方法核实受益所有人身份并采取合理措施</w:t>
      </w:r>
      <w:r>
        <w:rPr>
          <w:sz w:val="15"/>
          <w:vertAlign w:val="superscript"/>
        </w:rPr>
        <w:t>P339</w:t>
      </w:r>
      <w:r>
        <w:t>，“完全依赖”某个外部登记册放弃独立核实，与RBA所要求的“合理”标准匹配度不如B。</w:t>
      </w:r>
    </w:p>
    <w:p>
      <w:pPr>
        <w:spacing w:line="360" w:lineRule="auto" w:after="40"/>
      </w:pPr>
      <w:r>
        <w:rPr>
          <w:b/>
          <w:shd w:fill="D6E4F0" w:val="clear"/>
        </w:rPr>
        <w:t>C项错误：</w:t>
      </w:r>
    </w:p>
    <w:p>
      <w:pPr>
        <w:spacing w:line="360" w:lineRule="auto" w:after="40"/>
      </w:pPr>
      <w:r>
        <w:t>跨境和国家风险可以支持加强监控，但C要求实时监控并标记“每笔”跨境交易。RBA要求根据风险暴露程度确定优先级和措施</w:t>
      </w:r>
      <w:r>
        <w:rPr>
          <w:sz w:val="15"/>
          <w:vertAlign w:val="superscript"/>
        </w:rPr>
        <w:t>P267</w:t>
      </w:r>
      <w:r>
        <w:t>；C没有体现先评估再区分审查强度，匹配度不如B。</w:t>
      </w:r>
    </w:p>
    <w:p>
      <w:pPr>
        <w:spacing w:line="360" w:lineRule="auto" w:after="40"/>
      </w:pPr>
      <w:r>
        <w:rPr>
          <w:b/>
          <w:shd w:fill="D6E4F0" w:val="clear"/>
        </w:rPr>
        <w:t>D项错误：</w:t>
      </w:r>
    </w:p>
    <w:p>
      <w:pPr>
        <w:spacing w:line="360" w:lineRule="auto" w:after="40"/>
      </w:pPr>
      <w:r>
        <w:t>教材确实要求对与FATF认定的高风险司法管辖区内个人或机构之间的业务关系和交易实施EDD</w:t>
      </w:r>
      <w:r>
        <w:rPr>
          <w:sz w:val="15"/>
          <w:vertAlign w:val="superscript"/>
        </w:rPr>
        <w:t>P148</w:t>
      </w:r>
      <w:r>
        <w:t>，所以不能把国家风险视为无关。但D进一步规定对分支机构“所有客户”自动采取EDD且“不论其风险等级如何”，这一绝对范围并非所引规则的表述，也取消了教材要求的客户风险判断</w:t>
      </w:r>
      <w:r>
        <w:rPr>
          <w:sz w:val="15"/>
          <w:vertAlign w:val="superscript"/>
        </w:rPr>
        <w:t>P271</w:t>
      </w:r>
      <w:r>
        <w:t>。B同时纳入地域等风险因素和客户评估，更完整体现RBA。</w:t>
      </w:r>
    </w:p>
    <w:p>
      <w:pPr>
        <w:spacing w:line="360" w:lineRule="auto" w:after="40"/>
      </w:pPr>
      <w:r>
        <w:rPr>
          <w:b/>
          <w:shd w:fill="D6E4F0" w:val="clear"/>
        </w:rPr>
        <w:t>易错提醒：</w:t>
      </w:r>
    </w:p>
    <w:p>
      <w:pPr>
        <w:spacing w:line="360" w:lineRule="auto" w:after="40"/>
      </w:pPr>
      <w:r>
        <w:t>高风险司法管辖区会提高地域风险，对与该辖区内个人或机构的业务关系和交易可能需要EDD</w:t>
      </w:r>
      <w:r>
        <w:rPr>
          <w:sz w:val="15"/>
          <w:vertAlign w:val="superscript"/>
        </w:rPr>
        <w:t>P148</w:t>
      </w:r>
      <w:r>
        <w:t>；这与D仍有范围差别。D把“分支机构位于高风险国家”直接扩展为“所有客户、不论风险等级”，而B要求把地域风险连同客户风险评估结果一起用于确定尽职调查强度</w:t>
      </w:r>
      <w:r>
        <w:rPr>
          <w:sz w:val="15"/>
          <w:vertAlign w:val="superscript"/>
        </w:rPr>
        <w:t>P267、P271</w:t>
      </w:r>
      <w:r>
        <w:t>。判断此类题时，应同时避免忽略国家风险和把单一风险因素无限扩大。</w:t>
      </w:r>
    </w:p>
    <w:p>
      <w:pPr>
        <w:spacing w:line="360" w:lineRule="auto" w:after="120"/>
      </w:pPr>
      <w:r/>
    </w:p>
    <w:p>
      <w:pPr>
        <w:spacing w:line="360" w:lineRule="auto" w:after="40"/>
      </w:pPr>
      <w:r>
        <w:t>10. 以下哪一项最能描述扩散融资的主要威胁之一？</w:t>
      </w:r>
    </w:p>
    <w:p>
      <w:pPr>
        <w:spacing w:line="360" w:lineRule="auto" w:after="20"/>
      </w:pPr>
      <w:r>
        <w:t>A.敌对政府利用复杂攻击手段威胁关键基础设施和行业,包括金融、医疗保健和能源领域</w:t>
      </w:r>
    </w:p>
    <w:p>
      <w:pPr>
        <w:spacing w:line="360" w:lineRule="auto" w:after="20"/>
      </w:pPr>
      <w:r>
        <w:t>B.利用金融系统转移资金以获取大规模杀伤性武器或其部件的个人和实体网络</w:t>
      </w:r>
    </w:p>
    <w:p>
      <w:pPr>
        <w:spacing w:line="360" w:lineRule="auto" w:after="20"/>
      </w:pPr>
      <w:r>
        <w:t>C.跨国犯罪组织将其活动范围扩大到更多种类的非法活动,包括人口贩运和腐败.</w:t>
      </w:r>
    </w:p>
    <w:p>
      <w:pPr>
        <w:spacing w:line="360" w:lineRule="auto" w:after="20"/>
      </w:pPr>
      <w:r>
        <w:t>D.通过非法暴力或武力行为全部或部分为其意识形态目标筹集资金的个人和实体网络</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扩散融资的核心定义：大规模杀伤性武器及其相关融资</w:t>
      </w:r>
    </w:p>
    <w:p>
      <w:pPr>
        <w:spacing w:line="360" w:lineRule="auto" w:after="40"/>
      </w:pPr>
      <w:r>
        <w:rPr>
          <w:b/>
          <w:shd w:fill="D6E4F0" w:val="clear"/>
        </w:rPr>
        <w:t>核心解析：</w:t>
      </w:r>
    </w:p>
    <w:p>
      <w:pPr>
        <w:spacing w:line="360" w:lineRule="auto" w:after="40"/>
      </w:pPr>
      <w:r>
        <w:t>教材把扩散融资与核、化学、生物武器及其运载工具和相关材料的转让、出口联系起来</w:t>
      </w:r>
      <w:r>
        <w:rPr>
          <w:sz w:val="15"/>
          <w:vertAlign w:val="superscript"/>
        </w:rPr>
        <w:t>P269</w:t>
      </w:r>
      <w:r>
        <w:t>，并要求通过定向金融制裁预防和阻断大规模杀伤性武器扩散融资</w:t>
      </w:r>
      <w:r>
        <w:rPr>
          <w:sz w:val="15"/>
          <w:vertAlign w:val="superscript"/>
        </w:rPr>
        <w:t>P147</w:t>
      </w:r>
      <w:r>
        <w:t>。题干四个选项中，只有B同时包含“利用金融系统转移资金”和“获取大规模杀伤性武器或其部件”两个要素，完整连接了</w:t>
      </w:r>
      <w:r>
        <w:rPr>
          <w:b/>
        </w:rPr>
        <w:t>融资活动与WMD扩散目的</w:t>
      </w:r>
      <w:r>
        <w:t>。A是关键基础设施攻击，C是跨国犯罪活动扩张，D是为意识形态暴力筹资，均缺少这一组合。因此答案为B。</w:t>
      </w:r>
    </w:p>
    <w:p>
      <w:pPr>
        <w:spacing w:line="360" w:lineRule="auto" w:after="40"/>
      </w:pPr>
      <w:r>
        <w:rPr>
          <w:b/>
          <w:shd w:fill="D6E4F0" w:val="clear"/>
        </w:rPr>
        <w:t>教材原句：</w:t>
      </w:r>
    </w:p>
    <w:p>
      <w:pPr>
        <w:spacing w:line="360" w:lineRule="auto" w:after="40"/>
      </w:pPr>
      <w:r>
        <w:t>"Similarly, jurisdictions should apply targeted financial sanctions to prevent and disrupt the financing of the proliferation of WMDs."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描述的是敌对政府对关键基础设施的网络攻击威胁，属于网络安全或关键基础设施保护范畴。教材中虽然有网络安全风险的相关讨论，但其定位是金融机构与第三方合作时面临的运营风险，与扩散融资的“大规模杀伤性武器”核心要素没有交集，题干条件更直接匹配B而非A。</w:t>
      </w:r>
    </w:p>
    <w:p>
      <w:pPr>
        <w:spacing w:line="360" w:lineRule="auto" w:after="40"/>
      </w:pPr>
      <w:r>
        <w:rPr>
          <w:b/>
          <w:shd w:fill="D6E4F0" w:val="clear"/>
        </w:rPr>
        <w:t>C项错误：</w:t>
      </w:r>
    </w:p>
    <w:p>
      <w:pPr>
        <w:spacing w:line="360" w:lineRule="auto" w:after="40"/>
      </w:pPr>
      <w:r>
        <w:t>选项C描述的是跨国犯罪组织将活动范围扩大到人口贩运和腐败等非法活动，这是对跨国犯罪组织（TCO）特征的概括描述。教材确实提到环境犯罪常涉及跨国犯罪组织，人口贩运也可与TCO关联，但这些描述的语境是解释特定上游犯罪的复杂度，并未聚焦于大规模杀伤性武器扩散这一独特威胁。题干对扩散融资的聚焦度远高于对TCO一般犯罪活动的描述。</w:t>
      </w:r>
    </w:p>
    <w:p>
      <w:pPr>
        <w:spacing w:line="360" w:lineRule="auto" w:after="40"/>
      </w:pPr>
      <w:r>
        <w:rPr>
          <w:b/>
          <w:shd w:fill="D6E4F0" w:val="clear"/>
        </w:rPr>
        <w:t>D项错误：</w:t>
      </w:r>
    </w:p>
    <w:p>
      <w:pPr>
        <w:spacing w:line="360" w:lineRule="auto" w:after="40"/>
      </w:pPr>
      <w:r>
        <w:t>选项D描述的是通过非法暴力为意识形态目标筹集资金的网络，这更接近恐怖融资（terrorism financing）的定义特征。教材在讨论恐怖融资时提到恐怖分子利用各种渠道转移和存储资金，其动机是意识形态驱动的暴力行为。扩散融资的核心是资金用于获取大规模杀伤性武器本身，而非为意识形态暴力行为筹集资金，两者的根本目的不同，题干条件更吻合B对扩散融资的定义。</w:t>
      </w:r>
    </w:p>
    <w:p>
      <w:pPr>
        <w:spacing w:line="360" w:lineRule="auto" w:after="40"/>
      </w:pPr>
      <w:r>
        <w:rPr>
          <w:b/>
          <w:shd w:fill="D6E4F0" w:val="clear"/>
        </w:rPr>
        <w:t>易错提醒：</w:t>
      </w:r>
    </w:p>
    <w:p>
      <w:pPr>
        <w:spacing w:line="360" w:lineRule="auto" w:after="40"/>
      </w:pPr>
      <w:r>
        <w:t>扩散融资与恐怖融资的区分点是资金用途：本题B明确指向获取WMD及其部件</w:t>
      </w:r>
      <w:r>
        <w:rPr>
          <w:sz w:val="15"/>
          <w:vertAlign w:val="superscript"/>
        </w:rPr>
        <w:t>P269</w:t>
      </w:r>
      <w:r>
        <w:t>，D则指向为意识形态暴力筹资。两者都可能使用个人和实体网络，不能只看筹资主体，必须看资金的最终目的。</w:t>
      </w:r>
    </w:p>
    <w:p>
      <w:pPr>
        <w:spacing w:line="360" w:lineRule="auto" w:after="120"/>
      </w:pPr>
      <w:r/>
    </w:p>
    <w:p>
      <w:pPr>
        <w:spacing w:line="360" w:lineRule="auto" w:after="40"/>
      </w:pPr>
      <w:r>
        <w:t>11. 国家风险评估(NRA)和行业风险评估如何影响金融机构(FI)的内部反洗钱/打击资助恐怖主义(AML/CFT)风险评估？</w:t>
      </w:r>
    </w:p>
    <w:p>
      <w:pPr>
        <w:spacing w:line="360" w:lineRule="auto" w:after="20"/>
      </w:pPr>
      <w:r>
        <w:t>A.金融机构必须证明其在反洗钱/打击资助恐怖主义风险评估中所识别的风险与国家风险评估和行业风险评估相一致,并且这些风险得到了有效管理.</w:t>
      </w:r>
    </w:p>
    <w:p>
      <w:pPr>
        <w:spacing w:line="360" w:lineRule="auto" w:after="20"/>
      </w:pPr>
      <w:r>
        <w:t>B.若发布了行业风险评估报告,金融机构必须直接将其应用于所有子公司和分支机构,不得进行任何修改.</w:t>
      </w:r>
    </w:p>
    <w:p>
      <w:pPr>
        <w:spacing w:line="360" w:lineRule="auto" w:after="20"/>
      </w:pPr>
      <w:r>
        <w:t>C.金融机构的反洗钱/打击资助恐怖主义风险评估必须完全按照国家风险评估和行业风险评估的规定编写，并经董事会批准。</w:t>
      </w:r>
    </w:p>
    <w:p>
      <w:pPr>
        <w:spacing w:line="360" w:lineRule="auto" w:after="20"/>
      </w:pPr>
      <w:r>
        <w:t>D.金融机构必须严格采用国家风险评估和行业风险评估中确定的确切风险因素</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NRA/SRA作为内部EWRA的外部风险输入，而非照搬模板</w:t>
      </w:r>
    </w:p>
    <w:p>
      <w:pPr>
        <w:spacing w:line="360" w:lineRule="auto" w:after="40"/>
      </w:pPr>
      <w:r>
        <w:rPr>
          <w:b/>
          <w:shd w:fill="D6E4F0" w:val="clear"/>
        </w:rPr>
        <w:t>核心解析：</w:t>
      </w:r>
    </w:p>
    <w:p>
      <w:pPr>
        <w:spacing w:line="360" w:lineRule="auto" w:after="40"/>
      </w:pPr>
      <w:r>
        <w:t>国家风险评估（NRA）、行业风险评估（SRA）和企业全面风险评估（EWRA）是三类主要风险评估，三者应相互关联，以形成有效的风险为本AFC框架</w:t>
      </w:r>
      <w:r>
        <w:rPr>
          <w:sz w:val="15"/>
          <w:vertAlign w:val="superscript"/>
        </w:rPr>
        <w:t>P268</w:t>
      </w:r>
      <w:r>
        <w:t>。同时，EWRA必须根据具体组织定制，考虑其客户、司法管辖区、产品和交付渠道，并采取有针对性的措施管理这些风险</w:t>
      </w:r>
      <w:r>
        <w:rPr>
          <w:sz w:val="15"/>
          <w:vertAlign w:val="superscript"/>
        </w:rPr>
        <w:t>P268</w:t>
      </w:r>
      <w:r>
        <w:t>。因此，</w:t>
      </w:r>
      <w:r>
        <w:rPr>
          <w:b/>
        </w:rPr>
        <w:t>内部评估应吸收国家和行业层面的相关风险认识</w:t>
      </w:r>
      <w:r>
        <w:t>，但</w:t>
      </w:r>
      <w:r>
        <w:rPr>
          <w:b/>
        </w:rPr>
        <w:t>外部评估不能取代机构自身的定制分析</w:t>
      </w:r>
      <w:r>
        <w:t>。</w:t>
      </w:r>
    </w:p>
    <w:p>
      <w:pPr>
        <w:spacing w:line="360" w:lineRule="auto" w:after="40"/>
      </w:pPr>
      <w:r>
        <w:t>选项A中的“aligned”应理解为内部评估已经体现并合理回应NRA/SRA识别的相关风险，而不是要求风险清单、因素或结论</w:t>
      </w:r>
      <w:r>
        <w:rPr>
          <w:b/>
        </w:rPr>
        <w:t>完全相同</w:t>
      </w:r>
      <w:r>
        <w:t>。在四个选项中，只有A同时保留了外部评估的影响和机构有效管理风险的责任。B、C、D都要求直接、完全或严格照搬，与EWRA的定制化原则不符，因此A最符合题意。</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全球性组织的EWRA应以共同方法论灵活协调开展，子公司和分支机构应被允许纳入自身运营的特定风险动态和本地要素</w:t>
      </w:r>
      <w:r>
        <w:rPr>
          <w:sz w:val="15"/>
          <w:vertAlign w:val="superscript"/>
        </w:rPr>
        <w:t>P275</w:t>
      </w:r>
      <w:r>
        <w:t>。选项B要求SRA在所有子公司和分支机构“不得修改”地直接应用，与该规则直接冲突。</w:t>
      </w:r>
    </w:p>
    <w:p>
      <w:pPr>
        <w:spacing w:line="360" w:lineRule="auto" w:after="40"/>
      </w:pPr>
      <w:r>
        <w:rPr>
          <w:b/>
          <w:shd w:fill="D6E4F0" w:val="clear"/>
        </w:rPr>
        <w:t>C项错误：</w:t>
      </w:r>
    </w:p>
    <w:p>
      <w:pPr>
        <w:spacing w:line="360" w:lineRule="auto" w:after="40"/>
      </w:pPr>
      <w:r>
        <w:t>选项C要求内部评估“完全按照”NRA和SRA的具体内容编写。EWRA应根据组织自身情况定制，全球机构还应吸收各分支机构的本地风险要素</w:t>
      </w:r>
      <w:r>
        <w:rPr>
          <w:sz w:val="15"/>
          <w:vertAlign w:val="superscript"/>
        </w:rPr>
        <w:t>P268、P275</w:t>
      </w:r>
      <w:r>
        <w:t>，因此外部评估不能替代内部评估。至于董事会批准，应依机构治理安排和适用规则判断，不影响C在定制原则上的错误。</w:t>
      </w:r>
    </w:p>
    <w:p>
      <w:pPr>
        <w:spacing w:line="360" w:lineRule="auto" w:after="40"/>
      </w:pPr>
      <w:r>
        <w:rPr>
          <w:b/>
          <w:shd w:fill="D6E4F0" w:val="clear"/>
        </w:rPr>
        <w:t>D项错误：</w:t>
      </w:r>
    </w:p>
    <w:p>
      <w:pPr>
        <w:spacing w:line="360" w:lineRule="auto" w:after="40"/>
      </w:pPr>
      <w:r>
        <w:t>教材要求EWRA考虑本机构的客户、司法管辖区、产品和交付渠道</w:t>
      </w:r>
      <w:r>
        <w:rPr>
          <w:sz w:val="15"/>
          <w:vertAlign w:val="superscript"/>
        </w:rPr>
        <w:t>P268</w:t>
      </w:r>
      <w:r>
        <w:t>。选项D要求严格采用NRA/SRA中的“确切风险因素”，抹去了机构根据自身业务暴露识别其他风险或调整重点的空间。</w:t>
      </w:r>
    </w:p>
    <w:p>
      <w:pPr>
        <w:spacing w:line="360" w:lineRule="auto" w:after="40"/>
      </w:pPr>
      <w:r>
        <w:rPr>
          <w:b/>
          <w:shd w:fill="D6E4F0" w:val="clear"/>
        </w:rPr>
        <w:t>易错提醒：</w:t>
      </w:r>
    </w:p>
    <w:p>
      <w:pPr>
        <w:spacing w:line="360" w:lineRule="auto" w:after="40"/>
      </w:pPr>
      <w:r>
        <w:t>“相互关联”不等于“逐项一致”。NRA、SRA和EWRA应彼此衔接</w:t>
      </w:r>
      <w:r>
        <w:rPr>
          <w:sz w:val="15"/>
          <w:vertAlign w:val="superscript"/>
        </w:rPr>
        <w:t>P268</w:t>
      </w:r>
      <w:r>
        <w:t>，但EWRA仍需结合本机构业务和本地风险定制</w:t>
      </w:r>
      <w:r>
        <w:rPr>
          <w:sz w:val="15"/>
          <w:vertAlign w:val="superscript"/>
        </w:rPr>
        <w:t>P268、P275</w:t>
      </w:r>
      <w:r>
        <w:t>。选项A中的“aligned”应理解为内部评估合理回应了外部评估中的相关风险，而不是风险因素和权重必须完全相同。</w:t>
      </w:r>
    </w:p>
    <w:p>
      <w:pPr>
        <w:spacing w:line="360" w:lineRule="auto" w:after="120"/>
      </w:pPr>
      <w:r/>
    </w:p>
    <w:p>
      <w:pPr>
        <w:spacing w:line="360" w:lineRule="auto" w:after="40"/>
      </w:pPr>
      <w:r>
        <w:t>12. 以下哪两项最能描述会计师在反洗钱/打击资助恐怖主义方面的风险识别和评估？（选择两项。）</w:t>
      </w:r>
    </w:p>
    <w:p>
      <w:pPr>
        <w:spacing w:line="360" w:lineRule="auto" w:after="20"/>
      </w:pPr>
      <w:r>
        <w:t>A.会计师无需保存业务关系记录超过两年。</w:t>
      </w:r>
    </w:p>
    <w:p>
      <w:pPr>
        <w:spacing w:line="360" w:lineRule="auto" w:after="20"/>
      </w:pPr>
      <w:r>
        <w:t>B.起草一份客户接受政策有助于会计师明确超出其风险承受能力的客户范围</w:t>
      </w:r>
    </w:p>
    <w:p>
      <w:pPr>
        <w:spacing w:line="360" w:lineRule="auto" w:after="20"/>
      </w:pPr>
      <w:r>
        <w:t>C.在确定交易和服务风险时，会计师提供服务所在的司法管辖区并不重要。</w:t>
      </w:r>
    </w:p>
    <w:p>
      <w:pPr>
        <w:spacing w:line="360" w:lineRule="auto" w:after="20"/>
      </w:pPr>
      <w:r>
        <w:t>D.由于规模较小且资源有限，会计师仅被允许将反洗钱/反恐怖融资风险组织为客户风险或交易/服务风险。</w:t>
      </w:r>
    </w:p>
    <w:p>
      <w:pPr>
        <w:spacing w:line="360" w:lineRule="auto" w:after="20"/>
      </w:pPr>
      <w:r>
        <w:t>E.由于会计师所提供服务的性质，金融机构使用的自动化交易监控系统可能并不适用。</w:t>
      </w:r>
    </w:p>
    <w:p>
      <w:pPr>
        <w:spacing w:line="360" w:lineRule="auto" w:after="40"/>
      </w:pPr>
      <w:r>
        <w:t>答案:B、E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会计师AML/CFT风险评估维度与监控控制的适配性</w:t>
      </w:r>
    </w:p>
    <w:p>
      <w:pPr>
        <w:spacing w:line="360" w:lineRule="auto" w:after="40"/>
      </w:pPr>
      <w:r>
        <w:rPr>
          <w:b/>
          <w:shd w:fill="D6E4F0" w:val="clear"/>
        </w:rPr>
        <w:t>核心解析：</w:t>
      </w:r>
    </w:p>
    <w:p>
      <w:pPr>
        <w:spacing w:line="360" w:lineRule="auto" w:after="40"/>
      </w:pPr>
      <w:r>
        <w:rPr>
          <w:b/>
        </w:rPr>
        <w:t>风险偏好</w:t>
      </w:r>
      <w:r>
        <w:t>决定组织接受的</w:t>
      </w:r>
      <w:r>
        <w:rPr>
          <w:b/>
        </w:rPr>
        <w:t>客户类型、产品类型以及运营的司法管辖区和渠道</w:t>
      </w:r>
      <w:r>
        <w:rPr>
          <w:sz w:val="15"/>
          <w:vertAlign w:val="superscript"/>
        </w:rPr>
        <w:t>P270</w:t>
      </w:r>
      <w:r>
        <w:t>；风险评估还应识别可能超出组织风险偏好的客户、产品和服务</w:t>
      </w:r>
      <w:r>
        <w:rPr>
          <w:sz w:val="15"/>
          <w:vertAlign w:val="superscript"/>
        </w:rPr>
        <w:t>P281</w:t>
      </w:r>
      <w:r>
        <w:t>。因此，起草</w:t>
      </w:r>
      <w:r>
        <w:rPr>
          <w:b/>
        </w:rPr>
        <w:t>客户接受政策</w:t>
      </w:r>
      <w:r>
        <w:t>可以把风险偏好转化为客户准入边界，帮助会计师明确哪些客户超出其风险承受能力，B项直接符合教材框架。</w:t>
      </w:r>
    </w:p>
    <w:p>
      <w:pPr>
        <w:spacing w:line="360" w:lineRule="auto" w:after="40"/>
      </w:pPr>
      <w:r>
        <w:t>交易监控系统被教材定义为帮助金融机构检测</w:t>
      </w:r>
      <w:r>
        <w:rPr>
          <w:b/>
        </w:rPr>
        <w:t>可疑交易模式</w:t>
      </w:r>
      <w:r>
        <w:t>的技术框架</w:t>
      </w:r>
      <w:r>
        <w:rPr>
          <w:sz w:val="15"/>
          <w:vertAlign w:val="superscript"/>
        </w:rPr>
        <w:t>P325</w:t>
      </w:r>
      <w:r>
        <w:t>，但监控方式应随业务类型和风险特征调整：不同业务的交易量和模式不同，所需自动化程度也不同</w:t>
      </w:r>
      <w:r>
        <w:rPr>
          <w:sz w:val="15"/>
          <w:vertAlign w:val="superscript"/>
        </w:rPr>
        <w:t>P254</w:t>
      </w:r>
      <w:r>
        <w:t>，</w:t>
      </w:r>
      <w:r>
        <w:rPr>
          <w:b/>
        </w:rPr>
        <w:t>产品风险评估</w:t>
      </w:r>
      <w:r>
        <w:t>还应参与交易监控等控制措施的设计，以确保对产品充分覆盖</w:t>
      </w:r>
      <w:r>
        <w:rPr>
          <w:sz w:val="15"/>
          <w:vertAlign w:val="superscript"/>
        </w:rPr>
        <w:t>P286</w:t>
      </w:r>
      <w:r>
        <w:t>。会计师提供多种专业服务，且不同服务对应不同洗钱风险</w:t>
      </w:r>
      <w:r>
        <w:rPr>
          <w:sz w:val="15"/>
          <w:vertAlign w:val="superscript"/>
        </w:rPr>
        <w:t>P123</w:t>
      </w:r>
      <w:r>
        <w:t>。因此，金融机构使用的自动化交易监控系统对会计师业务可能并不适用；E项中的“可能”体现了</w:t>
      </w:r>
      <w:r>
        <w:rPr>
          <w:b/>
        </w:rPr>
        <w:t>风险为本和控制适配原则</w:t>
      </w:r>
      <w:r>
        <w:t>。</w:t>
      </w:r>
    </w:p>
    <w:p>
      <w:pPr>
        <w:spacing w:line="360" w:lineRule="auto" w:after="40"/>
      </w:pPr>
      <w:r>
        <w:rPr>
          <w:b/>
          <w:shd w:fill="D6E4F0" w:val="clear"/>
        </w:rPr>
        <w:t>教材原句：</w:t>
      </w:r>
    </w:p>
    <w:p>
      <w:pPr>
        <w:spacing w:line="360" w:lineRule="auto" w:after="40"/>
      </w:pPr>
      <w:r>
        <w:t>"Every organization has its own risk appetite, which determines the type of customers it will accept, the product types it will offer, and the jurisdictions and channels in which it will operate."</w:t>
      </w:r>
      <w:r>
        <w:rPr>
          <w:sz w:val="15"/>
          <w:vertAlign w:val="superscript"/>
        </w:rPr>
        <w:t>P270</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记录保存和记录保留属于预防性控制，文件应按照组织的记录保留政策保存，妥善的记录保存还应确保能够向监管和执法部门提供信息</w:t>
      </w:r>
      <w:r>
        <w:rPr>
          <w:sz w:val="15"/>
          <w:vertAlign w:val="superscript"/>
        </w:rPr>
        <w:t>P277、P345、P359</w:t>
      </w:r>
      <w:r>
        <w:t>。因此，保存期限应依适用规则和机构政策确定，不能统一限定为“无需超过两年”。</w:t>
      </w:r>
    </w:p>
    <w:p>
      <w:pPr>
        <w:spacing w:line="360" w:lineRule="auto" w:after="40"/>
      </w:pPr>
      <w:r>
        <w:rPr>
          <w:b/>
          <w:shd w:fill="D6E4F0" w:val="clear"/>
        </w:rPr>
        <w:t>C项错误：</w:t>
      </w:r>
    </w:p>
    <w:p>
      <w:pPr>
        <w:spacing w:line="360" w:lineRule="auto" w:after="40"/>
      </w:pPr>
      <w:r>
        <w:t>教材明确指出，地域风险评估可以考虑政治稳定性、监管环境和制裁状况，司法管辖区本身就是风险维度之一</w:t>
      </w:r>
      <w:r>
        <w:rPr>
          <w:sz w:val="15"/>
          <w:vertAlign w:val="superscript"/>
        </w:rPr>
        <w:t>P275</w:t>
      </w:r>
      <w:r>
        <w:t>。C项称其“不重要”，与教材风险评估框架直接相反。</w:t>
      </w:r>
    </w:p>
    <w:p>
      <w:pPr>
        <w:spacing w:line="360" w:lineRule="auto" w:after="40"/>
      </w:pPr>
      <w:r>
        <w:rPr>
          <w:b/>
          <w:shd w:fill="D6E4F0" w:val="clear"/>
        </w:rPr>
        <w:t>D项错误：</w:t>
      </w:r>
    </w:p>
    <w:p>
      <w:pPr>
        <w:spacing w:line="360" w:lineRule="auto" w:after="40"/>
      </w:pPr>
      <w:r>
        <w:t>教材要求收集客户、司法管辖区、产品和渠道等信息</w:t>
      </w:r>
      <w:r>
        <w:rPr>
          <w:sz w:val="15"/>
          <w:vertAlign w:val="superscript"/>
        </w:rPr>
        <w:t>P275</w:t>
      </w:r>
      <w:r>
        <w:t>，风险评估并非只能组织为客户风险或交易/服务风险。D项以会计师规模和资源为由缩窄风险类别，超出了教材允许的风险为本框架。</w:t>
      </w:r>
    </w:p>
    <w:p>
      <w:pPr>
        <w:spacing w:line="360" w:lineRule="auto" w:after="40"/>
      </w:pPr>
      <w:r>
        <w:rPr>
          <w:b/>
          <w:shd w:fill="D6E4F0" w:val="clear"/>
        </w:rPr>
        <w:t>易错提醒：</w:t>
      </w:r>
    </w:p>
    <w:p>
      <w:pPr>
        <w:spacing w:line="360" w:lineRule="auto" w:after="40"/>
      </w:pPr>
      <w:r>
        <w:t>不要把没有具体“两年”期限的A项误判为正确，也不要把金融机构的自动化交易监控系统直接套用于所有行业。风险评估和监控控制都应结合客户、服务、产品、交易模式和司法管辖区等因素进行适配</w:t>
      </w:r>
      <w:r>
        <w:rPr>
          <w:sz w:val="15"/>
          <w:vertAlign w:val="superscript"/>
        </w:rPr>
        <w:t>P254、P275、P286、P325</w:t>
      </w:r>
      <w:r>
        <w:t>。</w:t>
      </w:r>
    </w:p>
    <w:p>
      <w:pPr>
        <w:spacing w:line="360" w:lineRule="auto" w:after="120"/>
      </w:pPr>
      <w:r/>
    </w:p>
    <w:p>
      <w:pPr>
        <w:spacing w:line="360" w:lineRule="auto" w:after="40"/>
      </w:pPr>
      <w:r>
        <w:t>13. 以下哪些是接纳高风险客户相关的洗钱风险？（选择两项。）</w:t>
      </w:r>
    </w:p>
    <w:p>
      <w:pPr>
        <w:spacing w:line="360" w:lineRule="auto" w:after="20"/>
      </w:pPr>
      <w:r>
        <w:t>A.加强的客户尽职调查要求</w:t>
      </w:r>
    </w:p>
    <w:p>
      <w:pPr>
        <w:spacing w:line="360" w:lineRule="auto" w:after="20"/>
      </w:pPr>
      <w:r>
        <w:t>B.洗钱非法所得的可能性较高</w:t>
      </w:r>
    </w:p>
    <w:p>
      <w:pPr>
        <w:spacing w:line="360" w:lineRule="auto" w:after="20"/>
      </w:pPr>
      <w:r>
        <w:t>C.与低风险客户相比,监管审查力度降低</w:t>
      </w:r>
    </w:p>
    <w:p>
      <w:pPr>
        <w:spacing w:line="360" w:lineRule="auto" w:after="20"/>
      </w:pPr>
      <w:r>
        <w:t>D.更有可能从事金融犯罪活动</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区分“风险本身”与“风险控制措施”</w:t>
      </w:r>
    </w:p>
    <w:p>
      <w:pPr>
        <w:spacing w:line="360" w:lineRule="auto" w:after="40"/>
      </w:pPr>
      <w:r>
        <w:rPr>
          <w:b/>
          <w:shd w:fill="D6E4F0" w:val="clear"/>
        </w:rPr>
        <w:t>核心解析：</w:t>
      </w:r>
    </w:p>
    <w:p>
      <w:pPr>
        <w:spacing w:line="360" w:lineRule="auto" w:after="40"/>
      </w:pPr>
      <w:r>
        <w:t>题干要求区分高风险客户带来的风险与机构为控制风险采取的措施。风险为本方法按照客户的潜在金融犯罪风险进行分类；风险较高的客户可能接受强化尽职调查和加强监控</w:t>
      </w:r>
      <w:r>
        <w:rPr>
          <w:sz w:val="15"/>
          <w:vertAlign w:val="superscript"/>
        </w:rPr>
        <w:t>P270</w:t>
      </w:r>
      <w:r>
        <w:t>。这说明“高风险”表示</w:t>
      </w:r>
      <w:r>
        <w:rPr>
          <w:b/>
        </w:rPr>
        <w:t>洗钱非法所得或涉及金融犯罪的风险暴露和可能性较高</w:t>
      </w:r>
      <w:r>
        <w:t>，并不等于已经证明客户持有非法资金或实施犯罪。B的“洗钱非法所得的更大潜力”和D的“更有可能从事金融犯罪活动”描述的正是这种较高的潜在风险。教材还举例说明，政治敏感人物可能更易受腐败影响，中介机构可能代客户促成非法交易，进一步说明高风险分类关注犯罪利用的可能性</w:t>
      </w:r>
      <w:r>
        <w:rPr>
          <w:sz w:val="15"/>
          <w:vertAlign w:val="superscript"/>
        </w:rPr>
        <w:t>P104</w:t>
      </w:r>
      <w:r>
        <w:t>。故应选择B、D。</w:t>
      </w:r>
    </w:p>
    <w:p>
      <w:pPr>
        <w:spacing w:line="360" w:lineRule="auto" w:after="40"/>
      </w:pPr>
      <w:r>
        <w:rPr>
          <w:b/>
          <w:shd w:fill="D6E4F0" w:val="clear"/>
        </w:rPr>
        <w:t>教材原句：</w:t>
      </w:r>
    </w:p>
    <w:p>
      <w:pPr>
        <w:spacing w:line="360" w:lineRule="auto" w:after="40"/>
      </w:pPr>
      <w:r>
        <w:t>"A customer representing higher risk may be subject to enhanced due diligence and heightened monitoring, thereby allowing the organization to allocate resources effectively by classifying customers based on their potential financial crime risk."</w:t>
      </w:r>
      <w:r>
        <w:rPr>
          <w:sz w:val="15"/>
          <w:vertAlign w:val="superscript"/>
        </w:rPr>
        <w:t>P270</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强化尽职调查是机构识别出较高风险后采取的控制措施。教材指出，高风险客户通常会接受更深入的EDD审查</w:t>
      </w:r>
      <w:r>
        <w:rPr>
          <w:sz w:val="15"/>
          <w:vertAlign w:val="superscript"/>
        </w:rPr>
        <w:t>P306、P270</w:t>
      </w:r>
      <w:r>
        <w:t>，因此A描述的是风险的处理方式，而不是接纳该客户产生的洗钱风险本身。</w:t>
      </w:r>
    </w:p>
    <w:p>
      <w:pPr>
        <w:spacing w:line="360" w:lineRule="auto" w:after="40"/>
      </w:pPr>
      <w:r>
        <w:rPr>
          <w:b/>
          <w:shd w:fill="D6E4F0" w:val="clear"/>
        </w:rPr>
        <w:t>C项错误：</w:t>
      </w:r>
    </w:p>
    <w:p>
      <w:pPr>
        <w:spacing w:line="360" w:lineRule="auto" w:after="40"/>
      </w:pPr>
      <w:r>
        <w:t>高风险客户可能接受EDD和加强监控</w:t>
      </w:r>
      <w:r>
        <w:rPr>
          <w:sz w:val="15"/>
          <w:vertAlign w:val="superscript"/>
        </w:rPr>
        <w:t>P270</w:t>
      </w:r>
      <w:r>
        <w:t>，审查强度通常高于而不是低于低风险客户。C把风险为本方法的资源配置方向写反。</w:t>
      </w:r>
    </w:p>
    <w:p>
      <w:pPr>
        <w:spacing w:line="360" w:lineRule="auto" w:after="40"/>
      </w:pPr>
      <w:r>
        <w:rPr>
          <w:b/>
          <w:shd w:fill="D6E4F0" w:val="clear"/>
        </w:rPr>
        <w:t>易错提醒：</w:t>
      </w:r>
    </w:p>
    <w:p>
      <w:pPr>
        <w:spacing w:line="360" w:lineRule="auto" w:after="40"/>
      </w:pPr>
      <w:r>
        <w:t>高风险标签表示风险概率或暴露程度较高，不是犯罪事实认定。B、D使用“潜力”“可能性”描述风险；A的EDD和加强监控则是识别风险后的控制措施</w:t>
      </w:r>
      <w:r>
        <w:rPr>
          <w:sz w:val="15"/>
          <w:vertAlign w:val="superscript"/>
        </w:rPr>
        <w:t>P270、P306</w:t>
      </w:r>
      <w:r>
        <w:t>。</w:t>
      </w:r>
    </w:p>
    <w:p>
      <w:pPr>
        <w:spacing w:line="360" w:lineRule="auto" w:after="120"/>
      </w:pPr>
      <w:r/>
    </w:p>
    <w:p>
      <w:pPr>
        <w:spacing w:line="360" w:lineRule="auto" w:after="40"/>
      </w:pPr>
      <w:r>
        <w:t>14. 国家风险评估(NRA)可以通过以下两种方式影响组织反金融犯罪(AFC)合规计划中的风险为本方法(RBA):（选择两项。）</w:t>
      </w:r>
    </w:p>
    <w:p>
      <w:pPr>
        <w:spacing w:line="360" w:lineRule="auto" w:after="20"/>
      </w:pPr>
      <w:r>
        <w:t>A.帮助识别需要加强尽职调查(EDD)的高风险行业.</w:t>
      </w:r>
    </w:p>
    <w:p>
      <w:pPr>
        <w:spacing w:line="360" w:lineRule="auto" w:after="20"/>
      </w:pPr>
      <w:r>
        <w:t>B.消除组织内部开展行业或业务领域风险评估的需要</w:t>
      </w:r>
    </w:p>
    <w:p>
      <w:pPr>
        <w:spacing w:line="360" w:lineRule="auto" w:after="20"/>
      </w:pPr>
      <w:r>
        <w:t>C.指导金融犯罪风险防范资源的分配</w:t>
      </w:r>
    </w:p>
    <w:p>
      <w:pPr>
        <w:spacing w:line="360" w:lineRule="auto" w:after="20"/>
      </w:pPr>
      <w:r>
        <w:t>D.要求所有组织采用标准化措施</w:t>
      </w:r>
    </w:p>
    <w:p>
      <w:pPr>
        <w:spacing w:line="360" w:lineRule="auto" w:after="20"/>
      </w:pPr>
      <w:r>
        <w:t>E.自动减轻组织自行开展风险评估的责任</w:t>
      </w:r>
    </w:p>
    <w:p>
      <w:pPr>
        <w:spacing w:line="360" w:lineRule="auto" w:after="40"/>
      </w:pPr>
      <w:r>
        <w:t>答案:A、C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国家风险评估（NRA）对组织RBA的两种赋能方式</w:t>
      </w:r>
    </w:p>
    <w:p>
      <w:pPr>
        <w:spacing w:line="360" w:lineRule="auto" w:after="40"/>
      </w:pPr>
      <w:r>
        <w:rPr>
          <w:b/>
          <w:shd w:fill="D6E4F0" w:val="clear"/>
        </w:rPr>
        <w:t>核心解析：</w:t>
      </w:r>
    </w:p>
    <w:p>
      <w:pPr>
        <w:spacing w:line="360" w:lineRule="auto" w:after="40"/>
      </w:pPr>
      <w:r>
        <w:t>国家风险评估（NRA）的核心功能有二：一是</w:t>
      </w:r>
      <w:r>
        <w:rPr>
          <w:b/>
        </w:rPr>
        <w:t>识别国家层面的洗钱/恐怖融资威胁，审查高风险行业和领域</w:t>
      </w:r>
      <w:r>
        <w:rPr>
          <w:sz w:val="15"/>
          <w:vertAlign w:val="superscript"/>
        </w:rPr>
        <w:t>P268</w:t>
      </w:r>
      <w:r>
        <w:t>；二是其风险识别结果为机构分配资源提供依据</w:t>
      </w:r>
      <w:r>
        <w:rPr>
          <w:sz w:val="15"/>
          <w:vertAlign w:val="superscript"/>
        </w:rPr>
        <w:t>P184</w:t>
      </w:r>
      <w:r>
        <w:t>。题干问NRA如何“inform”（为……提供信息/指导）组织的风险为本方法（RBA）。选项A对应第一项功能——NRA识别出高风险行业后，金融机构便可据此确定哪些行业需加强尽职调查。选项C对应</w:t>
      </w:r>
      <w:r>
        <w:rPr>
          <w:b/>
        </w:rPr>
        <w:t>资源分配逻辑</w:t>
      </w:r>
      <w:r>
        <w:t>——FinCEN等国家层面的风险评估目的之一就是协助资源分配，且风险评估帮助机构制定控制策略以缓解已识别风险</w:t>
      </w:r>
      <w:r>
        <w:rPr>
          <w:sz w:val="15"/>
          <w:vertAlign w:val="superscript"/>
        </w:rPr>
        <w:t>P277</w:t>
      </w:r>
      <w:r>
        <w:t>，NRA作为外部风险信息来源，指导组织将有限资源投向高风险领域。两者都体现NRA作为</w:t>
      </w:r>
      <w:r>
        <w:rPr>
          <w:b/>
        </w:rPr>
        <w:t>“外部输入→内部应用”</w:t>
      </w:r>
      <w:r>
        <w:t>的传导机制。</w:t>
      </w:r>
    </w:p>
    <w:p>
      <w:pPr>
        <w:spacing w:line="360" w:lineRule="auto" w:after="40"/>
      </w:pPr>
      <w:r>
        <w:rPr>
          <w:b/>
          <w:shd w:fill="D6E4F0" w:val="clear"/>
        </w:rPr>
        <w:t>教材原句：</w:t>
      </w:r>
    </w:p>
    <w:p>
      <w:pPr>
        <w:spacing w:line="360" w:lineRule="auto" w:after="40"/>
      </w:pPr>
      <w:r>
        <w:t>"NRAs identify national-level money laundering and terror financing threats and risks. These assessments review sectors and areas with higher risks."</w:t>
      </w:r>
      <w:r>
        <w:rPr>
          <w:sz w:val="15"/>
          <w:vertAlign w:val="superscript"/>
        </w:rPr>
        <w:t>P268</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NRA提供国家层面的宏观风险信息，组织仍需通过自身的企业全面风险评估识别内部风险</w:t>
      </w:r>
      <w:r>
        <w:rPr>
          <w:sz w:val="15"/>
          <w:vertAlign w:val="superscript"/>
        </w:rPr>
        <w:t>P277</w:t>
      </w:r>
      <w:r>
        <w:t>。两类评估相互衔接，不能彼此替代。</w:t>
      </w:r>
    </w:p>
    <w:p>
      <w:pPr>
        <w:spacing w:line="360" w:lineRule="auto" w:after="40"/>
      </w:pPr>
      <w:r>
        <w:rPr>
          <w:b/>
          <w:shd w:fill="D6E4F0" w:val="clear"/>
        </w:rPr>
        <w:t>D项错误：</w:t>
      </w:r>
    </w:p>
    <w:p>
      <w:pPr>
        <w:spacing w:line="360" w:lineRule="auto" w:after="40"/>
      </w:pPr>
      <w:r>
        <w:t>RBA要求控制措施与识别出的风险成比例，各机构还需结合自身客户、地域和产品特征进行调整；“所有组织采用标准化措施”与这一原则相反。</w:t>
      </w:r>
    </w:p>
    <w:p>
      <w:pPr>
        <w:spacing w:line="360" w:lineRule="auto" w:after="40"/>
      </w:pPr>
      <w:r>
        <w:rPr>
          <w:b/>
          <w:shd w:fill="D6E4F0" w:val="clear"/>
        </w:rPr>
        <w:t>E项错误：</w:t>
      </w:r>
    </w:p>
    <w:p>
      <w:pPr>
        <w:spacing w:line="360" w:lineRule="auto" w:after="40"/>
      </w:pPr>
      <w:r>
        <w:t>教材指出，机构需定期进行独立评估以确保内部风险控制有效，NRA是外部输入，不能“自动减轻”组织自身的评估责任。两者的主语和职责边界不同——NRA由国家机关完成宏观识别，组织内部评估由机构自身或其委托方完成，前者不能替代后者。</w:t>
      </w:r>
    </w:p>
    <w:p>
      <w:pPr>
        <w:spacing w:line="360" w:lineRule="auto" w:after="40"/>
      </w:pPr>
      <w:r>
        <w:rPr>
          <w:b/>
          <w:shd w:fill="D6E4F0" w:val="clear"/>
        </w:rPr>
        <w:t>易错提醒：</w:t>
      </w:r>
    </w:p>
    <w:p>
      <w:pPr>
        <w:spacing w:line="360" w:lineRule="auto" w:after="40"/>
      </w:pPr>
      <w:r>
        <w:t>NRA（国家风险评估）由国家机关执行，识别国家层面的风险</w:t>
      </w:r>
      <w:r>
        <w:rPr>
          <w:sz w:val="15"/>
          <w:vertAlign w:val="superscript"/>
        </w:rPr>
        <w:t>P268</w:t>
      </w:r>
      <w:r>
        <w:t>；SRA（行业风险评估）由监管机构等执行，聚焦特定行业风险；EWRA（企业全面风险评估）由组织自行执行，结合NRA和SRA的洞察管理内部风险</w:t>
      </w:r>
      <w:r>
        <w:rPr>
          <w:sz w:val="15"/>
          <w:vertAlign w:val="superscript"/>
        </w:rPr>
        <w:t>P277</w:t>
      </w:r>
      <w:r>
        <w:t>。三者层次不同，不能相互替代或消除。</w:t>
      </w:r>
    </w:p>
    <w:p>
      <w:pPr>
        <w:spacing w:line="360" w:lineRule="auto" w:after="120"/>
      </w:pPr>
      <w:r/>
    </w:p>
    <w:p>
      <w:pPr>
        <w:spacing w:line="360" w:lineRule="auto" w:after="40"/>
      </w:pPr>
      <w:r>
        <w:t>15. 以下哪三项属于基于风险的方法？（选择三项。）</w:t>
      </w:r>
    </w:p>
    <w:p>
      <w:pPr>
        <w:spacing w:line="360" w:lineRule="auto" w:after="20"/>
      </w:pPr>
      <w:r>
        <w:t>A.进行全面的风险评估,以识别客户、交易和地域风险</w:t>
      </w:r>
    </w:p>
    <w:p>
      <w:pPr>
        <w:spacing w:line="360" w:lineRule="auto" w:after="20"/>
      </w:pPr>
      <w:r>
        <w:t>B.对于之前已标记的客户,重点进行监控而对于其他客户则采用标准控制措施</w:t>
      </w:r>
    </w:p>
    <w:p>
      <w:pPr>
        <w:spacing w:line="360" w:lineRule="auto" w:after="20"/>
      </w:pPr>
      <w:r>
        <w:t>C.选择并应用与所识别风险等级相适应的有效控制措施</w:t>
      </w:r>
    </w:p>
    <w:p>
      <w:pPr>
        <w:spacing w:line="360" w:lineRule="auto" w:after="20"/>
      </w:pPr>
      <w:r>
        <w:t>D.根据客户的活动和关系确定其详细的风险概况</w:t>
      </w:r>
    </w:p>
    <w:p>
      <w:pPr>
        <w:spacing w:line="360" w:lineRule="auto" w:after="20"/>
      </w:pPr>
      <w:r>
        <w:t>E.在所有客户群体间平均分配资源以确保公平性</w:t>
      </w:r>
    </w:p>
    <w:p>
      <w:pPr>
        <w:spacing w:line="360" w:lineRule="auto" w:after="40"/>
      </w:pPr>
      <w:r>
        <w:t>答案:A、C、D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基于风险的方法核心原则：识别风险并按风险等级差异化分配资源与管控</w:t>
      </w:r>
    </w:p>
    <w:p>
      <w:pPr>
        <w:spacing w:line="360" w:lineRule="auto" w:after="40"/>
      </w:pPr>
      <w:r>
        <w:rPr>
          <w:b/>
          <w:shd w:fill="D6E4F0" w:val="clear"/>
        </w:rPr>
        <w:t>核心解析：</w:t>
      </w:r>
    </w:p>
    <w:p>
      <w:pPr>
        <w:spacing w:line="360" w:lineRule="auto" w:after="40"/>
      </w:pPr>
      <w:r>
        <w:t>风险为本方法（RBA）指</w:t>
      </w:r>
      <w:r>
        <w:rPr>
          <w:b/>
        </w:rPr>
        <w:t>识别、评估和理解洗钱/恐怖融资风险</w:t>
      </w:r>
      <w:r>
        <w:t>，并采取适当的缓解措施</w:t>
      </w:r>
      <w:r>
        <w:rPr>
          <w:sz w:val="15"/>
          <w:vertAlign w:val="superscript"/>
        </w:rPr>
        <w:t>P270</w:t>
      </w:r>
      <w:r>
        <w:t>。其核心是“优先处理高概率和严重影响的风险”，确保“应对措施与识别出的风险成比例”，而非</w:t>
      </w:r>
      <w:r>
        <w:rPr>
          <w:b/>
        </w:rPr>
        <w:t>平均分配资源</w:t>
      </w:r>
      <w:r>
        <w:rPr>
          <w:sz w:val="15"/>
          <w:vertAlign w:val="superscript"/>
        </w:rPr>
        <w:t>P381、P147</w:t>
      </w:r>
      <w:r>
        <w:t>。选项A对应RBA的“识别与评估”环节——通过全面风险评估识别客户、交易和地域风险，这是RBA的起点。选项C对应“采取适当缓解措施”——选择并应用与风险等级相匹配的控制措施，体现“成比例”原则。选项D对应“理解风险”——根据客户活动和关系确定风险概况，将客户按风险分类，以便后续差异化管控。三者共同构成RBA的完整闭环：识别风险→评估定级→匹配控制。</w:t>
      </w:r>
    </w:p>
    <w:p>
      <w:pPr>
        <w:spacing w:line="360" w:lineRule="auto" w:after="40"/>
      </w:pPr>
      <w:r>
        <w:rPr>
          <w:b/>
          <w:shd w:fill="D6E4F0" w:val="clear"/>
        </w:rPr>
        <w:t>教材原句：</w:t>
      </w:r>
    </w:p>
    <w:p>
      <w:pPr>
        <w:spacing w:line="360" w:lineRule="auto" w:after="4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“之前已标记”不等于“当前高风险”。RBA要求根据当前风险水平动态调整，并优先向高风险客户、司法管辖区和服务投入资源，而不是只关注历史标记。</w:t>
      </w:r>
    </w:p>
    <w:p>
      <w:pPr>
        <w:spacing w:line="360" w:lineRule="auto" w:after="40"/>
      </w:pPr>
      <w:r>
        <w:rPr>
          <w:b/>
          <w:shd w:fill="D6E4F0" w:val="clear"/>
        </w:rPr>
        <w:t>E项错误：</w:t>
      </w:r>
    </w:p>
    <w:p>
      <w:pPr>
        <w:spacing w:line="360" w:lineRule="auto" w:after="40"/>
      </w:pPr>
      <w:r>
        <w:t>RBA要求识别最高风险并优先配置资源</w:t>
      </w:r>
      <w:r>
        <w:rPr>
          <w:sz w:val="15"/>
          <w:vertAlign w:val="superscript"/>
        </w:rPr>
        <w:t>P381</w:t>
      </w:r>
      <w:r>
        <w:t>，而不是在所有客户群体间平均分配。E描述的是一刀切做法，与风险相称原则相反。</w:t>
      </w:r>
    </w:p>
    <w:p>
      <w:pPr>
        <w:spacing w:line="360" w:lineRule="auto" w:after="40"/>
      </w:pPr>
      <w:r>
        <w:rPr>
          <w:b/>
          <w:shd w:fill="D6E4F0" w:val="clear"/>
        </w:rPr>
        <w:t>易错提醒：</w:t>
      </w:r>
    </w:p>
    <w:p>
      <w:pPr>
        <w:spacing w:line="360" w:lineRule="auto" w:after="40"/>
      </w:pPr>
      <w:r>
        <w:t>RBA的核心是“差异化”，而非“平均主义”或“一刀切”</w:t>
      </w:r>
      <w:r>
        <w:rPr>
          <w:sz w:val="15"/>
          <w:vertAlign w:val="superscript"/>
        </w:rPr>
        <w:t>P147、P270</w:t>
      </w:r>
      <w:r>
        <w:t>。判断一个做法是否属于RBA，关键看它是否根据风险水平来决定资源投入的多少——风险高的多投入，风险低的少投入</w:t>
      </w:r>
      <w:r>
        <w:rPr>
          <w:sz w:val="15"/>
          <w:vertAlign w:val="superscript"/>
        </w:rPr>
        <w:t>P381</w:t>
      </w:r>
      <w:r>
        <w:t>。选项B把“曾被标记”当作唯一优先级，选项E追求“公平平分”，两者都偏离了“按风险等级成比例”这条主线。</w:t>
      </w:r>
    </w:p>
    <w:p>
      <w:pPr>
        <w:spacing w:line="360" w:lineRule="auto" w:after="120"/>
      </w:pPr>
      <w:r/>
    </w:p>
    <w:p>
      <w:pPr>
        <w:spacing w:line="360" w:lineRule="auto" w:after="40"/>
      </w:pPr>
      <w:r>
        <w:t>16. 以下哪三项属于基于风险的方法？（选择三项。）</w:t>
      </w:r>
    </w:p>
    <w:p>
      <w:pPr>
        <w:spacing w:line="360" w:lineRule="auto" w:after="20"/>
      </w:pPr>
      <w:r>
        <w:t>A.根据客户的活动和关系确定其详细的风险特征</w:t>
      </w:r>
    </w:p>
    <w:p>
      <w:pPr>
        <w:spacing w:line="360" w:lineRule="auto" w:after="20"/>
      </w:pPr>
      <w:r>
        <w:t>B.对于之前已标记的客户,重点进行监控而对于其他客户则采用标准控制措施</w:t>
      </w:r>
    </w:p>
    <w:p>
      <w:pPr>
        <w:spacing w:line="360" w:lineRule="auto" w:after="20"/>
      </w:pPr>
      <w:r>
        <w:t>C.选择并应用与所识别风险等级相适应的有效控制措施</w:t>
      </w:r>
    </w:p>
    <w:p>
      <w:pPr>
        <w:spacing w:line="360" w:lineRule="auto" w:after="20"/>
      </w:pPr>
      <w:r>
        <w:t>D.进行全面的风险评估,以识别客户、交易和地域风险</w:t>
      </w:r>
    </w:p>
    <w:p>
      <w:pPr>
        <w:spacing w:line="360" w:lineRule="auto" w:after="20"/>
      </w:pPr>
      <w:r>
        <w:t>E.在所有客户群体之间平均分配资源以确保公平性</w:t>
      </w:r>
    </w:p>
    <w:p>
      <w:pPr>
        <w:spacing w:line="360" w:lineRule="auto" w:after="40"/>
      </w:pPr>
      <w:r>
        <w:t>答案:A、C、D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风险为本方法的核心是识别、评估风险并采取相称的缓解措施</w:t>
      </w:r>
    </w:p>
    <w:p>
      <w:pPr>
        <w:spacing w:line="360" w:lineRule="auto" w:after="40"/>
      </w:pPr>
      <w:r>
        <w:rPr>
          <w:b/>
          <w:shd w:fill="D6E4F0" w:val="clear"/>
        </w:rPr>
        <w:t>核心解析：</w:t>
      </w:r>
    </w:p>
    <w:p>
      <w:pPr>
        <w:spacing w:line="360" w:lineRule="auto" w:after="40"/>
      </w:pPr>
      <w:r>
        <w:t>风险为本方法（RBA）是指识别、评估和理解组织面临的洗钱/恐怖融资风险，并采取适当措施有效缓解这些风险</w:t>
      </w:r>
      <w:r>
        <w:rPr>
          <w:sz w:val="15"/>
          <w:vertAlign w:val="superscript"/>
        </w:rPr>
        <w:t>P270</w:t>
      </w:r>
      <w:r>
        <w:t>。其核心逻辑是“先评估风险，再按风险等级分配资源和控制”。选项A“根据客户的活动和关系确定</w:t>
      </w:r>
      <w:r>
        <w:rPr>
          <w:b/>
        </w:rPr>
        <w:t>详细风险特征</w:t>
      </w:r>
      <w:r>
        <w:t>”对应风险评估中的客户风险画像</w:t>
      </w:r>
      <w:r>
        <w:rPr>
          <w:sz w:val="15"/>
          <w:vertAlign w:val="superscript"/>
        </w:rPr>
        <w:t>P301</w:t>
      </w:r>
      <w:r>
        <w:t>，属于识别和评估环节；选项D“进行全面的风险评估以识别客户、交易和地域风险”直接对应RBA定义中的识别和评估风险；选项C“选择并应用与所识别风险等级相适应的有效控制措施”对应RBA中“采取与风险成比例的措施”这一关键原则</w:t>
      </w:r>
      <w:r>
        <w:rPr>
          <w:sz w:val="15"/>
          <w:vertAlign w:val="superscript"/>
        </w:rPr>
        <w:t>P254</w:t>
      </w:r>
      <w:r>
        <w:t>，以及“应用控制措施将固有风险降至可接受的剩余风险水平”。三项共同构成RBA的完整动作链：评估风险 → 按风险等级匹配控制措施。</w:t>
      </w:r>
    </w:p>
    <w:p>
      <w:pPr>
        <w:spacing w:line="360" w:lineRule="auto" w:after="40"/>
      </w:pPr>
      <w:r>
        <w:rPr>
          <w:b/>
          <w:shd w:fill="D6E4F0" w:val="clear"/>
        </w:rPr>
        <w:t>教材原句：</w:t>
      </w:r>
    </w:p>
    <w:p>
      <w:pPr>
        <w:spacing w:line="360" w:lineRule="auto" w:after="4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风险为本方法要求根据客户、交易、地域等多维风险特征动态分配监控资源，而非仅依赖“之前已标记”这一历史状态。教材指出适当的分群确保对不同客户群体进行适当监控，而非只关注已标记客户。以历史标记替代风险评级，无法捕捉尚未被标记但风险正在上升的客户，与RBA的主动、全面评估原则匹配度较低。</w:t>
      </w:r>
    </w:p>
    <w:p>
      <w:pPr>
        <w:spacing w:line="360" w:lineRule="auto" w:after="40"/>
      </w:pPr>
      <w:r>
        <w:rPr>
          <w:b/>
          <w:shd w:fill="D6E4F0" w:val="clear"/>
        </w:rPr>
        <w:t>E项错误：</w:t>
      </w:r>
    </w:p>
    <w:p>
      <w:pPr>
        <w:spacing w:line="360" w:lineRule="auto" w:after="40"/>
      </w:pPr>
      <w:r>
        <w:t>风险为本方法的核心是按风险高低分配资源，高风险客户接受强化尽职调查和加强监控，从而有效分配资源。在所有客户群体间平均分配资源，违背了RBA“措施与风险成比例”的基本原则，无法体现不同客户群体的风险差异。</w:t>
      </w:r>
    </w:p>
    <w:p>
      <w:pPr>
        <w:spacing w:line="360" w:lineRule="auto" w:after="40"/>
      </w:pPr>
      <w:r>
        <w:rPr>
          <w:b/>
          <w:shd w:fill="D6E4F0" w:val="clear"/>
        </w:rPr>
        <w:t>易错提醒：</w:t>
      </w:r>
    </w:p>
    <w:p>
      <w:pPr>
        <w:spacing w:line="360" w:lineRule="auto" w:after="40"/>
      </w:pPr>
      <w:r>
        <w:t>风险为本方法容易与“平均主义”或“仅凭历史标记”混淆。教材明确：RBA要求基于当前风险评估差异化配置资源</w:t>
      </w:r>
      <w:r>
        <w:rPr>
          <w:sz w:val="15"/>
          <w:vertAlign w:val="superscript"/>
        </w:rPr>
        <w:t>P270</w:t>
      </w:r>
      <w:r>
        <w:t>，而非一刀切平均分配，也不能仅靠过去标记来决定监控强度。</w:t>
      </w:r>
    </w:p>
    <w:p>
      <w:pPr>
        <w:spacing w:line="360" w:lineRule="auto" w:after="120"/>
      </w:pPr>
      <w:r/>
    </w:p>
    <w:p>
      <w:pPr>
        <w:spacing w:line="360" w:lineRule="auto" w:after="40"/>
      </w:pPr>
      <w:r>
        <w:t>17. 在设定风险偏好并起草风险偏好声明（RAS）之后，哪些措施最能提升整个组织的风险偏好意识？（选择三项。）</w:t>
      </w:r>
    </w:p>
    <w:p>
      <w:pPr>
        <w:spacing w:line="360" w:lineRule="auto" w:after="20"/>
      </w:pPr>
      <w:r>
        <w:t>A.对员工进行培训，使其了解风险偏好及其限额在安全开展业务中的作用</w:t>
      </w:r>
    </w:p>
    <w:p>
      <w:pPr>
        <w:spacing w:line="360" w:lineRule="auto" w:after="20"/>
      </w:pPr>
      <w:r>
        <w:t>B.对所有管理人员进行培训，使其了解适当承担风险的重要性和益处</w:t>
      </w:r>
    </w:p>
    <w:p>
      <w:pPr>
        <w:spacing w:line="360" w:lineRule="auto" w:after="20"/>
      </w:pPr>
      <w:r>
        <w:t>C.将风险偏好嵌入日常流程和治理之中</w:t>
      </w:r>
    </w:p>
    <w:p>
      <w:pPr>
        <w:spacing w:line="360" w:lineRule="auto" w:after="20"/>
      </w:pPr>
      <w:r>
        <w:t>D.向业务同事说明风险控制措施</w:t>
      </w:r>
    </w:p>
    <w:p>
      <w:pPr>
        <w:spacing w:line="360" w:lineRule="auto" w:after="20"/>
      </w:pPr>
      <w:r>
        <w:t>E.将与风险偏好的偏离纳入内部报告程序</w:t>
      </w:r>
    </w:p>
    <w:p>
      <w:pPr>
        <w:spacing w:line="360" w:lineRule="auto" w:after="40"/>
      </w:pPr>
      <w:r>
        <w:t>答案:A、C、E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如何将纸面风险偏好嵌入组织日常运作以提升全员意识</w:t>
      </w:r>
    </w:p>
    <w:p>
      <w:pPr>
        <w:spacing w:line="360" w:lineRule="auto" w:after="40"/>
      </w:pPr>
      <w:r>
        <w:rPr>
          <w:b/>
          <w:shd w:fill="D6E4F0" w:val="clear"/>
        </w:rPr>
        <w:t>核心解析：</w:t>
      </w:r>
    </w:p>
    <w:p>
      <w:pPr>
        <w:spacing w:line="360" w:lineRule="auto" w:after="40"/>
      </w:pPr>
      <w:r>
        <w:t>风险偏好声明（RAS）制定了规则，但提升意识的关键在于让它“活”起来。题干问的是在RAS起草之后如何提升意识，这对应教材中三个层层递进的落地动作：第一，RAS会被“</w:t>
      </w:r>
      <w:r>
        <w:rPr>
          <w:b/>
        </w:rPr>
        <w:t>编入政策和程序</w:t>
      </w:r>
      <w:r>
        <w:t>”，也就是嵌入日常流程和治理（选项C）</w:t>
      </w:r>
      <w:r>
        <w:rPr>
          <w:sz w:val="15"/>
          <w:vertAlign w:val="superscript"/>
        </w:rPr>
        <w:t>P270</w:t>
      </w:r>
      <w:r>
        <w:t>；第二，要通过培训确保员工“理解其在缓解风险中的角色”，也就是让他们知道风险限额在日常业务中的作用（选项A）</w:t>
      </w:r>
      <w:r>
        <w:rPr>
          <w:sz w:val="15"/>
          <w:vertAlign w:val="superscript"/>
        </w:rPr>
        <w:t>P262</w:t>
      </w:r>
      <w:r>
        <w:t>；第三，要用风险评估去“</w:t>
      </w:r>
      <w:r>
        <w:rPr>
          <w:b/>
        </w:rPr>
        <w:t>识别可能超出机构风险偏好的客户、产品和服务</w:t>
      </w:r>
      <w:r>
        <w:t>”，这本质上就是把偏离纳入内部报告程序（选项E）</w:t>
      </w:r>
      <w:r>
        <w:rPr>
          <w:sz w:val="15"/>
          <w:vertAlign w:val="superscript"/>
        </w:rPr>
        <w:t>P281</w:t>
      </w:r>
      <w:r>
        <w:t>。三者合在一起，构成了从制度嵌入、人员赋能到监测反馈的完整闭环，直接回答了“如何让组织意识到风险偏好的存在”。</w:t>
      </w:r>
    </w:p>
    <w:p>
      <w:pPr>
        <w:spacing w:line="360" w:lineRule="auto" w:after="40"/>
      </w:pPr>
      <w:r>
        <w:rPr>
          <w:b/>
          <w:shd w:fill="D6E4F0" w:val="clear"/>
        </w:rPr>
        <w:t>教材原句：</w:t>
      </w:r>
    </w:p>
    <w:p>
      <w:pPr>
        <w:spacing w:line="360" w:lineRule="auto" w:after="40"/>
      </w:pPr>
      <w:r>
        <w:t>"The risk appetite statement is codified in policies and procedures."</w:t>
      </w:r>
      <w:r>
        <w:rPr>
          <w:sz w:val="15"/>
          <w:vertAlign w:val="superscript"/>
        </w:rPr>
        <w:t>P270</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该选项强调“适当承担风险”的益处，但教材将风险偏好定义为“可接受的风险水平”，其核心功能是“为业务设定边界”。题干问的是提升风险偏好意识，重点是让组织理解并遵守这条边界，选项B却聚焦于说服管理者承担风险，匹配度较低。</w:t>
      </w:r>
    </w:p>
    <w:p>
      <w:pPr>
        <w:spacing w:line="360" w:lineRule="auto" w:after="40"/>
      </w:pPr>
      <w:r>
        <w:rPr>
          <w:b/>
          <w:shd w:fill="D6E4F0" w:val="clear"/>
        </w:rPr>
        <w:t>D项错误：</w:t>
      </w:r>
    </w:p>
    <w:p>
      <w:pPr>
        <w:spacing w:line="360" w:lineRule="auto" w:after="40"/>
      </w:pPr>
      <w:r>
        <w:t>该选项仅说明向业务人员介绍控制措施。教材指出，控制措施“是为降低风险并确保遵守政策和程序而采取的行动”。虽然培训中可能涉及控制措施，但A直接要求员工理解RAS及其限额的作用，C则将RAS嵌入日常流程，二者更直接提升整个组织的风险偏好意识。</w:t>
      </w:r>
    </w:p>
    <w:p>
      <w:pPr>
        <w:spacing w:line="360" w:lineRule="auto" w:after="40"/>
      </w:pPr>
      <w:r>
        <w:rPr>
          <w:b/>
          <w:shd w:fill="D6E4F0" w:val="clear"/>
        </w:rPr>
        <w:t>易错提醒：</w:t>
      </w:r>
    </w:p>
    <w:p>
      <w:pPr>
        <w:spacing w:line="360" w:lineRule="auto" w:after="40"/>
      </w:pPr>
      <w:r>
        <w:t>“培训”和“嵌入流程”是提升意识的两个不同抓手。培训让员工理解RAS的作用</w:t>
      </w:r>
      <w:r>
        <w:rPr>
          <w:sz w:val="15"/>
          <w:vertAlign w:val="superscript"/>
        </w:rPr>
        <w:t>P262</w:t>
      </w:r>
      <w:r>
        <w:t>，嵌入流程则让风险偏好在日常决策中得到持续体现</w:t>
      </w:r>
      <w:r>
        <w:rPr>
          <w:sz w:val="15"/>
          <w:vertAlign w:val="superscript"/>
        </w:rPr>
        <w:t>P270</w:t>
      </w:r>
      <w:r>
        <w:t>。选项B将重点由“理解和遵守风险边界”转向“鼓励承担风险”，因此不够匹配。</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