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CH09</w:t>
      </w:r>
    </w:p>
    <w:p>
      <w:pPr>
        <w:spacing w:line="360" w:lineRule="auto" w:after="160"/>
      </w:pPr>
      <w:r>
        <w:t>一、单项选择题</w:t>
      </w:r>
    </w:p>
    <w:p>
      <w:pPr>
        <w:spacing w:line="360" w:lineRule="auto" w:after="40"/>
      </w:pPr>
      <w:r>
        <w:t>1. 一名反洗钱合规官收到了一份独立审计报告，其中包含若干发现。对这份报告的恰当回应应包括:</w:t>
      </w:r>
    </w:p>
    <w:p>
      <w:pPr>
        <w:spacing w:line="360" w:lineRule="auto" w:after="20"/>
      </w:pPr>
      <w:r>
        <w:t>A.起草详细的行动计划，供审计团队执行，以完成审计发现的整改</w:t>
      </w:r>
    </w:p>
    <w:p>
      <w:pPr>
        <w:spacing w:line="360" w:lineRule="auto" w:after="20"/>
      </w:pPr>
      <w:r>
        <w:t>B.重新对审计发现中提及的控制措施进行测试，以确认审计结果</w:t>
      </w:r>
    </w:p>
    <w:p>
      <w:pPr>
        <w:spacing w:line="360" w:lineRule="auto" w:after="20"/>
      </w:pPr>
      <w:r>
        <w:t>C.根据审计发现的根本原因分析来确定补救措施</w:t>
      </w:r>
    </w:p>
    <w:p>
      <w:pPr>
        <w:spacing w:line="360" w:lineRule="auto" w:after="20"/>
      </w:pPr>
      <w:r>
        <w:t>D.将审查行动计划的责任分配给董事会</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收到审计发现后应优先分析根本原因再定补救措施</w:t>
      </w:r>
    </w:p>
    <w:p>
      <w:pPr>
        <w:spacing w:line="360" w:lineRule="auto" w:after="40"/>
      </w:pPr>
      <w:r>
        <w:rPr>
          <w:b/>
          <w:shd w:fill="D6E4F0" w:val="clear"/>
        </w:rPr>
        <w:t>核心解析：</w:t>
      </w:r>
    </w:p>
    <w:p>
      <w:pPr>
        <w:spacing w:line="360" w:lineRule="auto" w:after="40"/>
      </w:pPr>
      <w:r>
        <w:t>教材规定，当控制出现缺失或错误时，“组织必须分析并纠正错误的根本原因以避免再次发生”</w:t>
      </w:r>
      <w:r>
        <w:rPr>
          <w:sz w:val="15"/>
          <w:vertAlign w:val="superscript"/>
        </w:rPr>
        <w:t>P279</w:t>
      </w:r>
      <w:r>
        <w:t>。题干中反洗钱合规官收到独立审计报告，报告内包含若干发现——这正是</w:t>
      </w:r>
      <w:r>
        <w:rPr>
          <w:b/>
        </w:rPr>
        <w:t>控制可能失效或存在缺口</w:t>
      </w:r>
      <w:r>
        <w:t>的情形。此时恰当的回应不是立即为审计团队起草计划，也不是自行重新测试审计结论，更不是直接把审查责任推给董事会，而是先根据发现进行</w:t>
      </w:r>
      <w:r>
        <w:rPr>
          <w:b/>
        </w:rPr>
        <w:t>“根本原因分析”</w:t>
      </w:r>
      <w:r>
        <w:t>（root cause analysis），再据此确定</w:t>
      </w:r>
      <w:r>
        <w:rPr>
          <w:b/>
        </w:rPr>
        <w:t>补救措施</w:t>
      </w:r>
      <w:r>
        <w:t>。选项C直接对应这条规则，从分析到补救的路径与教材一致。</w:t>
      </w:r>
    </w:p>
    <w:p>
      <w:pPr>
        <w:spacing w:line="360" w:lineRule="auto" w:after="40"/>
      </w:pPr>
      <w:r>
        <w:rPr>
          <w:b/>
          <w:shd w:fill="D6E4F0" w:val="clear"/>
        </w:rPr>
        <w:t>教材原句：</w:t>
      </w:r>
    </w:p>
    <w:p>
      <w:pPr>
        <w:spacing w:line="360" w:lineRule="auto" w:after="40"/>
      </w:pPr>
      <w:r>
        <w:t>"The organization must analyze and correct the root cause of the error to avoid recurrence."</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教材提到审计后可与内部审计持续沟通以制定行动计划</w:t>
      </w:r>
      <w:r>
        <w:rPr>
          <w:sz w:val="15"/>
          <w:vertAlign w:val="superscript"/>
        </w:rPr>
        <w:t>P258</w:t>
      </w:r>
      <w:r>
        <w:t>，但行动计划的制定和实施主体是反洗钱合规团队自身，而非为审计团队起草。选项A将行动计划的起草对象指向审计团队，与教材强调的“反洗钱合规团队可及时实施改进”的职责定位不吻合，因此比起C项的直接根本原因分析回应，A的匹配度更弱。</w:t>
      </w:r>
    </w:p>
    <w:p>
      <w:pPr>
        <w:spacing w:line="360" w:lineRule="auto" w:after="40"/>
      </w:pPr>
      <w:r>
        <w:rPr>
          <w:b/>
          <w:shd w:fill="D6E4F0" w:val="clear"/>
        </w:rPr>
        <w:t>B项错误：</w:t>
      </w:r>
    </w:p>
    <w:p>
      <w:pPr>
        <w:spacing w:line="360" w:lineRule="auto" w:after="40"/>
      </w:pPr>
      <w:r>
        <w:t>重新对审计发现中的控制进行测试属于确认审计结果的程序，通常由内部审计或合规测试职能负责；教材提到合规测试职能进行QA审查</w:t>
      </w:r>
      <w:r>
        <w:rPr>
          <w:sz w:val="15"/>
          <w:vertAlign w:val="superscript"/>
        </w:rPr>
        <w:t>P251</w:t>
      </w:r>
      <w:r>
        <w:t>。题干中的反洗钱合规官处于收到审计报告后的回应角色，更合理的做法是基于审计发现去分析根源和设计补救，而非重复验证审计结论的准确性。</w:t>
      </w:r>
    </w:p>
    <w:p>
      <w:pPr>
        <w:spacing w:line="360" w:lineRule="auto" w:after="40"/>
      </w:pPr>
      <w:r>
        <w:rPr>
          <w:b/>
          <w:shd w:fill="D6E4F0" w:val="clear"/>
        </w:rPr>
        <w:t>D项错误：</w:t>
      </w:r>
    </w:p>
    <w:p>
      <w:pPr>
        <w:spacing w:line="360" w:lineRule="auto" w:after="40"/>
      </w:pPr>
      <w:r>
        <w:t>董事会负有监督反洗钱计划有效性和确保缺陷被及时解决的最终责任</w:t>
      </w:r>
      <w:r>
        <w:rPr>
          <w:sz w:val="15"/>
          <w:vertAlign w:val="superscript"/>
        </w:rPr>
        <w:t>P259‑260</w:t>
      </w:r>
      <w:r>
        <w:t>，但这并不意味着日常将“审查行动计划”的责任全部分配给董事会。行动计划更常由业务负责人、运营负责人具体执行和审查，董事会关注战略方向和重大缺陷。教材中董事会角色侧重于批准风险偏好和确保项目获得资源，其监督性质与选项D所述的直接审查责任分配相比，C项在程序阶段上更贴合合规官收到报告后的直接行动。</w:t>
      </w:r>
    </w:p>
    <w:p>
      <w:pPr>
        <w:spacing w:line="360" w:lineRule="auto" w:after="40"/>
      </w:pPr>
      <w:r>
        <w:rPr>
          <w:b/>
          <w:shd w:fill="D6E4F0" w:val="clear"/>
        </w:rPr>
        <w:t>易错提醒：</w:t>
      </w:r>
    </w:p>
    <w:p>
      <w:pPr>
        <w:spacing w:line="360" w:lineRule="auto" w:after="40"/>
      </w:pPr>
      <w:r>
        <w:t>容易将“制定行动计划”视作收到审计报告的常规回应，但教材框架下，行动计划来源于对发现的分析，尤其是根本原因分析</w:t>
      </w:r>
      <w:r>
        <w:rPr>
          <w:sz w:val="15"/>
          <w:vertAlign w:val="superscript"/>
        </w:rPr>
        <w:t>P279</w:t>
      </w:r>
      <w:r>
        <w:t>。没有分析直接制定计划可能治标不治本，而先分析根本原因再确定补救措施，才是教材所强调的正确顺序。</w:t>
      </w:r>
    </w:p>
    <w:p>
      <w:pPr>
        <w:spacing w:line="360" w:lineRule="auto" w:after="120"/>
      </w:pPr>
      <w:r/>
    </w:p>
    <w:p>
      <w:pPr>
        <w:spacing w:line="360" w:lineRule="auto" w:after="40"/>
      </w:pPr>
      <w:r>
        <w:t>2. 一家金融机构正在进行全企业范围的风险评估（EWRA），发现其私人银行部门存在较高的固有洗钱风险，原因是客户资产净值高且财务结构复杂。不过，该机构已实施严格的客户尽职调查（CDD）和强化尽职调查（EDD）程序，并配备先进的交易监控系统。这些控制措施会如何影响剩余风险的评估？</w:t>
      </w:r>
    </w:p>
    <w:p>
      <w:pPr>
        <w:spacing w:line="360" w:lineRule="auto" w:after="20"/>
      </w:pPr>
      <w:r>
        <w:t>A.由于现有控制措施的有效性，剩余风险将显著降低。</w:t>
      </w:r>
    </w:p>
    <w:p>
      <w:pPr>
        <w:spacing w:line="360" w:lineRule="auto" w:after="20"/>
      </w:pPr>
      <w:r>
        <w:t>B.剩余风险会适度降低，但可能仍需进一步采取控制措施才能达到可接受的水平。</w:t>
      </w:r>
    </w:p>
    <w:p>
      <w:pPr>
        <w:spacing w:line="360" w:lineRule="auto" w:after="20"/>
      </w:pPr>
      <w:r>
        <w:t>C.由于私人银行业务的固有性质，剩余风险仍将居高不下。</w:t>
      </w:r>
    </w:p>
    <w:p>
      <w:pPr>
        <w:spacing w:line="360" w:lineRule="auto" w:after="20"/>
      </w:pPr>
      <w:r>
        <w:t>D.剩余风险将被完全消除，因为这些控制措施会降低所有潜在风险。</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强控制措施会显著降低高固有风险对应的剩余风险</w:t>
      </w:r>
    </w:p>
    <w:p>
      <w:pPr>
        <w:spacing w:line="360" w:lineRule="auto" w:after="40"/>
      </w:pPr>
      <w:r>
        <w:rPr>
          <w:b/>
          <w:shd w:fill="D6E4F0" w:val="clear"/>
        </w:rPr>
        <w:t>核心解析：</w:t>
      </w:r>
    </w:p>
    <w:p>
      <w:pPr>
        <w:spacing w:line="360" w:lineRule="auto" w:after="40"/>
      </w:pPr>
      <w:r>
        <w:t>教材指出，剩余风险的评估逻辑是</w:t>
      </w:r>
      <w:r>
        <w:rPr>
          <w:b/>
        </w:rPr>
        <w:t>“固有风险 - 控制有效性 = 剩余风险”</w:t>
      </w:r>
      <w:r>
        <w:rPr>
          <w:sz w:val="15"/>
          <w:vertAlign w:val="superscript"/>
        </w:rPr>
        <w:t>P278</w:t>
      </w:r>
      <w:r>
        <w:t>。因此，私人银行业务因高净值客户和复杂财务结构而具有较高固有风险，并不代表剩余风险一定仍然很高，关键要看</w:t>
      </w:r>
      <w:r>
        <w:rPr>
          <w:b/>
        </w:rPr>
        <w:t>现有控制措施是否能有效缓释该风险</w:t>
      </w:r>
      <w:r>
        <w:t>。</w:t>
      </w:r>
    </w:p>
    <w:p>
      <w:pPr>
        <w:spacing w:line="360" w:lineRule="auto" w:after="40"/>
      </w:pPr>
      <w:r>
        <w:t xml:space="preserve">题干中，机构已实施 </w:t>
      </w:r>
      <w:r>
        <w:rPr>
          <w:b/>
        </w:rPr>
        <w:t>robust CDD/EDD procedures</w:t>
      </w:r>
      <w:r>
        <w:t xml:space="preserve"> 和 </w:t>
      </w:r>
      <w:r>
        <w:rPr>
          <w:b/>
        </w:rPr>
        <w:t>sophisticated transaction monitoring systems</w:t>
      </w:r>
      <w:r>
        <w:t>。这里的 robust 和 sophisticated 是重要判断线索，说明题干并非只说“存在控制”，而是在强调这些控制较为健全、成熟，具有较强的风险缓释能力。教材也举例说明，对于高风险客户，如果机构实施EDD、核实资金来源和财富来源并加强业务关系监控，且这些控制被判断为有效，剩余风险可以降至中等或较低水平</w:t>
      </w:r>
      <w:r>
        <w:rPr>
          <w:sz w:val="15"/>
          <w:vertAlign w:val="superscript"/>
        </w:rPr>
        <w:t>P278</w:t>
      </w:r>
      <w:r>
        <w:t>。本题所列CDD、EDD和先进交易监控正是这类缓释措施，因此最符合题意的判断是：由于</w:t>
      </w:r>
      <w:r>
        <w:rPr>
          <w:b/>
        </w:rPr>
        <w:t>现有控制措施有效</w:t>
      </w:r>
      <w:r>
        <w:t>，剩余风险将显著降低。</w:t>
      </w:r>
    </w:p>
    <w:p>
      <w:pPr>
        <w:spacing w:line="360" w:lineRule="auto" w:after="40"/>
      </w:pPr>
      <w:r>
        <w:rPr>
          <w:b/>
          <w:shd w:fill="D6E4F0" w:val="clear"/>
        </w:rPr>
        <w:t>教材原句：</w:t>
      </w:r>
    </w:p>
    <w:p>
      <w:pPr>
        <w:spacing w:line="360" w:lineRule="auto" w:after="40"/>
      </w:pPr>
      <w:r>
        <w:t>"inherent risk minus control effectiveness equals residual risk (inherent risk – control effectiveness = residual risk)."</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B项虽然承认控制措施会降低风险，但进一步加入“可能仍需进一步控制才能达到可接受水平”这一判断。题干并未说明CDD/EDD执行不足、交易监控存在缺陷、控制运行不一致或剩余风险仍超过风险偏好；相反，robust 和 sophisticated 已经提示现有控制较强。因此B项比A项多引入了题干没有给出的控制不足假设。</w:t>
      </w:r>
    </w:p>
    <w:p>
      <w:pPr>
        <w:spacing w:line="360" w:lineRule="auto" w:after="40"/>
      </w:pPr>
      <w:r>
        <w:rPr>
          <w:b/>
          <w:shd w:fill="D6E4F0" w:val="clear"/>
        </w:rPr>
        <w:t>C项错误：</w:t>
      </w:r>
    </w:p>
    <w:p>
      <w:pPr>
        <w:spacing w:line="360" w:lineRule="auto" w:after="40"/>
      </w:pPr>
      <w:r>
        <w:t>教材明确，控制措施旨在降低固有风险</w:t>
      </w:r>
      <w:r>
        <w:rPr>
          <w:sz w:val="15"/>
          <w:vertAlign w:val="superscript"/>
        </w:rPr>
        <w:t>P278</w:t>
      </w:r>
      <w:r>
        <w:t>，剩余风险是在考虑控制措施之后的风险水平</w:t>
      </w:r>
      <w:r>
        <w:rPr>
          <w:sz w:val="15"/>
          <w:vertAlign w:val="superscript"/>
        </w:rPr>
        <w:t>P279</w:t>
      </w:r>
      <w:r>
        <w:t>。选项C仅强调固有风险性质，完全忽视了题干中已实施的控制措施对风险的缓解作用，与教材的剩余风险计算逻辑不符。</w:t>
      </w:r>
    </w:p>
    <w:p>
      <w:pPr>
        <w:spacing w:line="360" w:lineRule="auto" w:after="40"/>
      </w:pPr>
      <w:r>
        <w:rPr>
          <w:b/>
          <w:shd w:fill="D6E4F0" w:val="clear"/>
        </w:rPr>
        <w:t>D项错误：</w:t>
      </w:r>
    </w:p>
    <w:p>
      <w:pPr>
        <w:spacing w:line="360" w:lineRule="auto" w:after="40"/>
      </w:pPr>
      <w:r>
        <w:t>教材中提到，控制措施旨在将风险降至与机构风险偏好一致的水平</w:t>
      </w:r>
      <w:r>
        <w:rPr>
          <w:sz w:val="15"/>
          <w:vertAlign w:val="superscript"/>
        </w:rPr>
        <w:t>P278</w:t>
      </w:r>
      <w:r>
        <w:t>，并未声称控制措施能降低“所有潜在风险”或将剩余风险“完全消除”。在反洗钱/反恐怖融资领域，没有任何控制措施能保证消除所有风险。</w:t>
      </w:r>
    </w:p>
    <w:p>
      <w:pPr>
        <w:spacing w:line="360" w:lineRule="auto" w:after="40"/>
      </w:pPr>
      <w:r>
        <w:rPr>
          <w:b/>
          <w:shd w:fill="D6E4F0" w:val="clear"/>
        </w:rPr>
        <w:t>易错提醒：</w:t>
      </w:r>
    </w:p>
    <w:p>
      <w:pPr>
        <w:spacing w:line="360" w:lineRule="auto" w:after="40"/>
      </w:pPr>
      <w:r>
        <w:t>不要把“高固有风险”直接等同于“高剩余风险”。剩余风险必须结合控制有效性评估。本题中 robust CDD/EDD 和 sophisticated transaction monitoring 已经提示控制措施较强，所以应选“显著降低”，而不是额外假设还需要进一步控制；但风险缓释也不等于风险完全消除。</w:t>
      </w:r>
    </w:p>
    <w:p>
      <w:pPr>
        <w:spacing w:line="360" w:lineRule="auto" w:after="120"/>
      </w:pPr>
      <w:r/>
    </w:p>
    <w:p>
      <w:pPr>
        <w:spacing w:line="360" w:lineRule="auto" w:after="40"/>
      </w:pPr>
      <w:r>
        <w:t>3. 反洗钱/打击资助恐怖主义措施的有效性，可通过系统和控制措施在多大程度上做到以下事项来衡量：</w:t>
      </w:r>
    </w:p>
    <w:p>
      <w:pPr>
        <w:spacing w:line="360" w:lineRule="auto" w:after="20"/>
      </w:pPr>
      <w:r>
        <w:t>A.遵守相关法律法规</w:t>
      </w:r>
    </w:p>
    <w:p>
      <w:pPr>
        <w:spacing w:line="360" w:lineRule="auto" w:after="20"/>
      </w:pPr>
      <w:r>
        <w:t>B.最大限度降低金融机构的运营负担</w:t>
      </w:r>
    </w:p>
    <w:p>
      <w:pPr>
        <w:spacing w:line="360" w:lineRule="auto" w:after="20"/>
      </w:pPr>
      <w:r>
        <w:t>C.减轻金融犯罪的风险和威胁</w:t>
      </w:r>
    </w:p>
    <w:p>
      <w:pPr>
        <w:spacing w:line="360" w:lineRule="auto" w:after="20"/>
      </w:pPr>
      <w:r>
        <w:t>D.以经济高效的方式实施</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以风险降低程度衡量AML/CFT控制措施有效性</w:t>
      </w:r>
    </w:p>
    <w:p>
      <w:pPr>
        <w:spacing w:line="360" w:lineRule="auto" w:after="40"/>
      </w:pPr>
      <w:r>
        <w:rPr>
          <w:b/>
          <w:shd w:fill="D6E4F0" w:val="clear"/>
        </w:rPr>
        <w:t>核心解析：</w:t>
      </w:r>
    </w:p>
    <w:p>
      <w:pPr>
        <w:spacing w:line="360" w:lineRule="auto" w:after="40"/>
      </w:pPr>
      <w:r>
        <w:t>教材将控制措施有效性定义为</w:t>
      </w:r>
      <w:r>
        <w:rPr>
          <w:b/>
        </w:rPr>
        <w:t>“降低固有风险”的能力</w:t>
      </w:r>
      <w:r>
        <w:rPr>
          <w:sz w:val="15"/>
          <w:vertAlign w:val="superscript"/>
        </w:rPr>
        <w:t>P278</w:t>
      </w:r>
      <w:r>
        <w:t>。组织应评估控制措施以确定其在多大程度上减少了固有的洗钱/恐怖融资风险</w:t>
      </w:r>
      <w:r>
        <w:rPr>
          <w:sz w:val="15"/>
          <w:vertAlign w:val="superscript"/>
        </w:rPr>
        <w:t>P278</w:t>
      </w:r>
      <w:r>
        <w:t>，而控制措施本就是为将客户、地域等维度的固有风险降至可接受水平而设计</w:t>
      </w:r>
      <w:r>
        <w:rPr>
          <w:sz w:val="15"/>
          <w:vertAlign w:val="superscript"/>
        </w:rPr>
        <w:t>P278</w:t>
      </w:r>
      <w:r>
        <w:t>。题干问的是系统和控制措施在多大程度上能做到什么——这一“做到”直接对应教材中衡量控制效果的核心标尺，即</w:t>
      </w:r>
      <w:r>
        <w:rPr>
          <w:b/>
        </w:rPr>
        <w:t>减轻金融犯罪的风险和威胁</w:t>
      </w:r>
      <w:r>
        <w:t>。因此，选项C抓住了有效性评估的实质，而非停留在合规达标或成本效率等外围指标。</w:t>
      </w:r>
    </w:p>
    <w:p>
      <w:pPr>
        <w:spacing w:line="360" w:lineRule="auto" w:after="40"/>
      </w:pPr>
      <w:r>
        <w:rPr>
          <w:b/>
          <w:shd w:fill="D6E4F0" w:val="clear"/>
        </w:rPr>
        <w:t>教材原句：</w:t>
      </w:r>
    </w:p>
    <w:p>
      <w:pPr>
        <w:spacing w:line="360" w:lineRule="auto" w:after="40"/>
      </w:pPr>
      <w:r>
        <w:t>"Organizations should evaluate these control measures to determine their effectiveness in reducing inherent risks."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遵守法律法规是实现有效控制的前提条件，但教材框架下有效性的衡量直接指向固有风险的降低程度，合规本身不能替代对风险减少效果的评判，因此A不如C直接匹配有效性的定义。</w:t>
      </w:r>
    </w:p>
    <w:p>
      <w:pPr>
        <w:spacing w:line="360" w:lineRule="auto" w:after="40"/>
      </w:pPr>
      <w:r>
        <w:rPr>
          <w:b/>
          <w:shd w:fill="D6E4F0" w:val="clear"/>
        </w:rPr>
        <w:t>B项错误：</w:t>
      </w:r>
    </w:p>
    <w:p>
      <w:pPr>
        <w:spacing w:line="360" w:lineRule="auto" w:after="40"/>
      </w:pPr>
      <w:r>
        <w:t>反洗钱与反恐怖融资措施通常会增加机构的运营负担，而非将其最小化，教材也未将运营负担的最小化作为有效性衡量标准；题干更支持以风险缓解结果为导向的C选项。</w:t>
      </w:r>
    </w:p>
    <w:p>
      <w:pPr>
        <w:spacing w:line="360" w:lineRule="auto" w:after="40"/>
      </w:pPr>
      <w:r>
        <w:rPr>
          <w:b/>
          <w:shd w:fill="D6E4F0" w:val="clear"/>
        </w:rPr>
        <w:t>D项错误：</w:t>
      </w:r>
    </w:p>
    <w:p>
      <w:pPr>
        <w:spacing w:line="360" w:lineRule="auto" w:after="40"/>
      </w:pPr>
      <w:r>
        <w:t>教材在技术治理语境下提到“运营效率”</w:t>
      </w:r>
      <w:r>
        <w:rPr>
          <w:sz w:val="15"/>
          <w:vertAlign w:val="superscript"/>
        </w:rPr>
        <w:t>P369</w:t>
      </w:r>
      <w:r>
        <w:t>，但那是实施手段而非有效性衡量标准；题干问的是控制措施在多大程度上‘做到’什么，C项聚焦的风险缓解更直接对应教材对控制目标的描述。</w:t>
      </w:r>
    </w:p>
    <w:p>
      <w:pPr>
        <w:spacing w:line="360" w:lineRule="auto" w:after="40"/>
      </w:pPr>
      <w:r>
        <w:rPr>
          <w:b/>
          <w:shd w:fill="D6E4F0" w:val="clear"/>
        </w:rPr>
        <w:t>易错提醒：</w:t>
      </w:r>
    </w:p>
    <w:p>
      <w:pPr>
        <w:spacing w:line="360" w:lineRule="auto" w:after="40"/>
      </w:pPr>
      <w:r>
        <w:t>注意区分“合规达标”与“有效性”：教材要求评估控制措施降低固有风险的程度</w:t>
      </w:r>
      <w:r>
        <w:rPr>
          <w:sz w:val="15"/>
          <w:vertAlign w:val="superscript"/>
        </w:rPr>
        <w:t>P278</w:t>
      </w:r>
      <w:r>
        <w:t>，合规是手段，有效性是结果。也勿将“效率”误作“有效性”——成本效益不是衡量控制措施是否真正管住金融犯罪风险的核心标尺。</w:t>
      </w:r>
    </w:p>
    <w:p>
      <w:pPr>
        <w:spacing w:line="360" w:lineRule="auto" w:after="120"/>
      </w:pPr>
      <w:r/>
    </w:p>
    <w:p>
      <w:pPr>
        <w:spacing w:line="360" w:lineRule="auto" w:after="40"/>
      </w:pPr>
      <w:r>
        <w:t>4. 一位反洗钱合规官正在起草计划，以解决独立审计中发现的缺陷。哪种方法是最佳选择？</w:t>
      </w:r>
    </w:p>
    <w:p>
      <w:pPr>
        <w:spacing w:line="360" w:lineRule="auto" w:after="20"/>
      </w:pPr>
      <w:r>
        <w:t>A.只承诺实施那些无需新增投资即可实现股东价值最大化的行动计划</w:t>
      </w:r>
    </w:p>
    <w:p>
      <w:pPr>
        <w:spacing w:line="360" w:lineRule="auto" w:after="20"/>
      </w:pPr>
      <w:r>
        <w:t>B.与所在辖区的金融情报机构协商起草行动计划，以与其他类似公司保持一致</w:t>
      </w:r>
    </w:p>
    <w:p>
      <w:pPr>
        <w:spacing w:line="360" w:lineRule="auto" w:after="20"/>
      </w:pPr>
      <w:r>
        <w:t>C.只承诺在三个月的管理报告周期内能够实施并完成的行动计划</w:t>
      </w:r>
    </w:p>
    <w:p>
      <w:pPr>
        <w:spacing w:line="360" w:lineRule="auto" w:after="20"/>
      </w:pPr>
      <w:r>
        <w:t>D.起草行动计划以解决缺陷的根本原因，无论全面实施这些计划需要多长时间</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纠正行动计划的核心是解决根本原因</w:t>
      </w:r>
    </w:p>
    <w:p>
      <w:pPr>
        <w:spacing w:line="360" w:lineRule="auto" w:after="40"/>
      </w:pPr>
      <w:r>
        <w:rPr>
          <w:b/>
          <w:shd w:fill="D6E4F0" w:val="clear"/>
        </w:rPr>
        <w:t>核心解析：</w:t>
      </w:r>
    </w:p>
    <w:p>
      <w:pPr>
        <w:spacing w:line="360" w:lineRule="auto" w:after="40"/>
      </w:pPr>
      <w:r>
        <w:t>在反洗钱合规框架中，发现控制缺陷后，组织必须分析并纠正错误的</w:t>
      </w:r>
      <w:r>
        <w:rPr>
          <w:b/>
        </w:rPr>
        <w:t>根本原因</w:t>
      </w:r>
      <w:r>
        <w:t>以避免再次发生</w:t>
      </w:r>
      <w:r>
        <w:rPr>
          <w:sz w:val="15"/>
          <w:vertAlign w:val="superscript"/>
        </w:rPr>
        <w:t>P279</w:t>
      </w:r>
      <w:r>
        <w:t>。题干场景明确为“独立审计发现缺陷”后起草计划，这与教材中“纠正行动计划”（Corrective action plans）的补救与监控要求直接吻合：制定纠正行动计划、报告进展，并加强金融犯罪防控框架以防止问题再次发生</w:t>
      </w:r>
      <w:r>
        <w:rPr>
          <w:sz w:val="15"/>
          <w:vertAlign w:val="superscript"/>
        </w:rPr>
        <w:t>P299</w:t>
      </w:r>
      <w:r>
        <w:t>。一个全面的行动计划应明确</w:t>
      </w:r>
      <w:r>
        <w:rPr>
          <w:b/>
        </w:rPr>
        <w:t>业务负责人、截止日期和审查频率</w:t>
      </w:r>
      <w:r>
        <w:rPr>
          <w:sz w:val="15"/>
          <w:vertAlign w:val="superscript"/>
        </w:rPr>
        <w:t>P280</w:t>
      </w:r>
      <w:r>
        <w:t>，其核心目标是消除根源而非受限于股东回报、外部对齐或管理报告周期。因此，无论全面实施需要多长时间，以根本原因为导向的计划才是最佳选择。</w:t>
      </w:r>
    </w:p>
    <w:p>
      <w:pPr>
        <w:spacing w:line="360" w:lineRule="auto" w:after="40"/>
      </w:pPr>
      <w:r>
        <w:rPr>
          <w:b/>
          <w:shd w:fill="D6E4F0" w:val="clear"/>
        </w:rPr>
        <w:t>教材原句：</w:t>
      </w:r>
    </w:p>
    <w:p>
      <w:pPr>
        <w:spacing w:line="360" w:lineRule="auto" w:after="40"/>
      </w:pPr>
      <w:r>
        <w:t>"The organization must analyze and correct the root cause of the error to avoid recurrence."</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“股东价值最大化”和“无需新增投资”是商业考量，而教材要求董事会确保合规职能有“adequate resources”</w:t>
      </w:r>
      <w:r>
        <w:rPr>
          <w:sz w:val="15"/>
          <w:vertAlign w:val="superscript"/>
        </w:rPr>
        <w:t>P259</w:t>
      </w:r>
      <w:r>
        <w:t>。题干是审计缺陷补救，商业回报门槛不如解决合规缺陷的根源直接。</w:t>
      </w:r>
    </w:p>
    <w:p>
      <w:pPr>
        <w:spacing w:line="360" w:lineRule="auto" w:after="40"/>
      </w:pPr>
      <w:r>
        <w:rPr>
          <w:b/>
          <w:shd w:fill="D6E4F0" w:val="clear"/>
        </w:rPr>
        <w:t>B项错误：</w:t>
      </w:r>
    </w:p>
    <w:p>
      <w:pPr>
        <w:spacing w:line="360" w:lineRule="auto" w:after="40"/>
      </w:pPr>
      <w:r>
        <w:t>教材提到机构应制定符合金融情报机构要求的可疑活动报告政策</w:t>
      </w:r>
      <w:r>
        <w:rPr>
          <w:sz w:val="15"/>
          <w:vertAlign w:val="superscript"/>
        </w:rPr>
        <w:t>P353</w:t>
      </w:r>
      <w:r>
        <w:t>，但这是关于提交SAR的程序要求，并非解决内部审计缺陷的通用最佳实践。审计缺陷是机构自身控制问题，其纠正计划的制定主体和依据都更直接指向内部根本原因分析，而非与外部金融情报机构对齐。</w:t>
      </w:r>
    </w:p>
    <w:p>
      <w:pPr>
        <w:spacing w:line="360" w:lineRule="auto" w:after="40"/>
      </w:pPr>
      <w:r>
        <w:rPr>
          <w:b/>
          <w:shd w:fill="D6E4F0" w:val="clear"/>
        </w:rPr>
        <w:t>C项错误：</w:t>
      </w:r>
    </w:p>
    <w:p>
      <w:pPr>
        <w:spacing w:line="360" w:lineRule="auto" w:after="40"/>
      </w:pPr>
      <w:r>
        <w:t>教材在论述运营有效性时提到，月度控制至少需要三到六个月的数据来判断是否有效运行</w:t>
      </w:r>
      <w:r>
        <w:rPr>
          <w:sz w:val="15"/>
          <w:vertAlign w:val="superscript"/>
        </w:rPr>
        <w:t>P279</w:t>
      </w:r>
      <w:r>
        <w:t>，这表明评估和纠正缺陷本身就可能需要超过三个月。把行动计划强行限制在三个月的报告周期内，与教材所暗示的“控制需要运行足够长时间”的理念不直接吻合，无法保证解决根本原因。</w:t>
      </w:r>
    </w:p>
    <w:p>
      <w:pPr>
        <w:spacing w:line="360" w:lineRule="auto" w:after="120"/>
      </w:pPr>
      <w:r/>
    </w:p>
    <w:p>
      <w:pPr>
        <w:spacing w:line="360" w:lineRule="auto" w:after="40"/>
      </w:pPr>
      <w:r>
        <w:t>5. 一家银行的客户顾问联系合规团队的一名成员,寻求指导如何处理一位客户希望将出售加密资产所得的25万美元转入其在该银行的储蓄账户一事.合规团队应当提供哪些指导？</w:t>
      </w:r>
    </w:p>
    <w:p>
      <w:pPr>
        <w:spacing w:line="360" w:lineRule="auto" w:after="20"/>
      </w:pPr>
      <w:r>
        <w:t>A.建议进一步澄清相关情况，包括出售的是哪些加密货币或代币，以及该加密货币交易所是否对其客户进行尽职调查</w:t>
      </w:r>
    </w:p>
    <w:p>
      <w:pPr>
        <w:spacing w:line="360" w:lineRule="auto" w:after="20"/>
      </w:pPr>
      <w:r>
        <w:t>B.建议停止该交易，因为加密资产总体上不受监管，其性质决定了会给银行带来不可接受的反洗钱风险</w:t>
      </w:r>
    </w:p>
    <w:p>
      <w:pPr>
        <w:spacing w:line="360" w:lineRule="auto" w:after="20"/>
      </w:pPr>
      <w:r>
        <w:t>C.向顾问确认，如果客户的KYC（了解您的客户）信息是最新的，并且在公共区块链浏览器上进行搜索未发现任何负面媒体报道，客户可以继续进行交易</w:t>
      </w:r>
    </w:p>
    <w:p>
      <w:pPr>
        <w:spacing w:line="360" w:lineRule="auto" w:after="20"/>
      </w:pPr>
      <w:r>
        <w:t>D.向顾问确认客户可以进行交易，因为客户已正确完成KYC（了解您的客户）流程</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加密资产交易的剩余风险评估与尽职调查启动</w:t>
      </w:r>
    </w:p>
    <w:p>
      <w:pPr>
        <w:spacing w:line="360" w:lineRule="auto" w:after="40"/>
      </w:pPr>
      <w:r>
        <w:rPr>
          <w:b/>
          <w:shd w:fill="D6E4F0" w:val="clear"/>
        </w:rPr>
        <w:t>核心解析：</w:t>
      </w:r>
    </w:p>
    <w:p>
      <w:pPr>
        <w:spacing w:line="360" w:lineRule="auto" w:after="40"/>
      </w:pPr>
      <w:r>
        <w:t>剩余风险计算基于</w:t>
      </w:r>
      <w:r>
        <w:rPr>
          <w:b/>
        </w:rPr>
        <w:t>固有风险和控制有效性</w:t>
      </w:r>
      <w:r>
        <w:rPr>
          <w:sz w:val="15"/>
          <w:vertAlign w:val="superscript"/>
        </w:rPr>
        <w:t>P279</w:t>
      </w:r>
      <w:r>
        <w:t>。面对向银行转入加密资产出售所得的请求，合规官必须基于机构风险偏好决定是否接受该交易</w:t>
      </w:r>
      <w:r>
        <w:rPr>
          <w:sz w:val="15"/>
          <w:vertAlign w:val="superscript"/>
        </w:rPr>
        <w:t>P317</w:t>
      </w:r>
      <w:r>
        <w:t>。题干中，客户资金来自出售加密资产，而数字资产交易可能缺乏普遍接受的合规措施</w:t>
      </w:r>
      <w:r>
        <w:rPr>
          <w:sz w:val="15"/>
          <w:vertAlign w:val="superscript"/>
        </w:rPr>
        <w:t>P434</w:t>
      </w:r>
      <w:r>
        <w:t>，固有风险较高。此时银行并不掌握加密资产类型、出售平台（交易所）是否受监管等关键信息，无法评价现有控制措施是否足以将剩余风险降至可接受水平。由此可推断，最匹配教材逻辑的合规指导是：要求前线先进一步澄清这些信息缺口，以便</w:t>
      </w:r>
      <w:r>
        <w:rPr>
          <w:b/>
        </w:rPr>
        <w:t>评估剩余风险，再行决策</w:t>
      </w:r>
      <w:r>
        <w:t>。选项A强调“进一步澄清”加密资产类型及“该加密货币交易所是否对其客户进行尽职调查”，这正是在收集评估控制有效性的必要事实基础。</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教材指出，数字资产交易可以在校准监控后正常接受（如接受加密货币支付的餐厅案例）</w:t>
      </w:r>
      <w:r>
        <w:rPr>
          <w:sz w:val="15"/>
          <w:vertAlign w:val="superscript"/>
        </w:rPr>
        <w:t>P445</w:t>
      </w:r>
      <w:r>
        <w:t>，并未要求“一刀切”停止。题干更支持先澄清信息评估剩余风险，而非直接断言风险“不可接受”。</w:t>
      </w:r>
    </w:p>
    <w:p>
      <w:pPr>
        <w:spacing w:line="360" w:lineRule="auto" w:after="40"/>
      </w:pPr>
      <w:r>
        <w:rPr>
          <w:b/>
          <w:shd w:fill="D6E4F0" w:val="clear"/>
        </w:rPr>
        <w:t>C项错误：</w:t>
      </w:r>
    </w:p>
    <w:p>
      <w:pPr>
        <w:spacing w:line="360" w:lineRule="auto" w:after="40"/>
      </w:pPr>
      <w:r>
        <w:t>KYC最新且公开区块链浏览器无负面信息，并未覆盖交易对手方（加密交易所）的合规水平，而对手方尽职调查的缺失正是剩余风险评估中的核心缺陷</w:t>
      </w:r>
      <w:r>
        <w:rPr>
          <w:sz w:val="15"/>
          <w:vertAlign w:val="superscript"/>
        </w:rPr>
        <w:t>P279</w:t>
      </w:r>
      <w:r>
        <w:t>。仅凭客户侧KYC和链上公开搜索，不如A直接针对信息缺口要求澄清更匹配教材的剩余风险评估框架。</w:t>
      </w:r>
    </w:p>
    <w:p>
      <w:pPr>
        <w:spacing w:line="360" w:lineRule="auto" w:after="40"/>
      </w:pPr>
      <w:r>
        <w:rPr>
          <w:b/>
          <w:shd w:fill="D6E4F0" w:val="clear"/>
        </w:rPr>
        <w:t>D项错误：</w:t>
      </w:r>
    </w:p>
    <w:p>
      <w:pPr>
        <w:spacing w:line="360" w:lineRule="auto" w:after="40"/>
      </w:pPr>
      <w:r>
        <w:t>完成传统KYC流程仅覆盖客户身份识别层面。教材强调，应进行触发事件审查，根据异常交易模式等重新评估风险状况</w:t>
      </w:r>
      <w:r>
        <w:rPr>
          <w:sz w:val="15"/>
          <w:vertAlign w:val="superscript"/>
        </w:rPr>
        <w:t>P358</w:t>
      </w:r>
      <w:r>
        <w:t>。25万美元的加密资产转入属于触发事件，仅凭“客户已正确完成KYC流程”即放行，不如A先澄清交易对手方和资产详情再进行评估更符合教材规定的持续反洗钱控制要求。</w:t>
      </w:r>
    </w:p>
    <w:p>
      <w:pPr>
        <w:spacing w:line="360" w:lineRule="auto" w:after="120"/>
      </w:pPr>
      <w:r/>
    </w:p>
    <w:p>
      <w:pPr>
        <w:spacing w:line="360" w:lineRule="auto" w:after="40"/>
      </w:pPr>
      <w:r>
        <w:t>6. 年度风险评估包括固有风险、控制措施的有效性以及剩余风险。固有风险被评估为“中等”，而控制措施的有效性为“低于令人满意”。剩余风险的结论最有可能是什么？</w:t>
      </w:r>
    </w:p>
    <w:p>
      <w:pPr>
        <w:spacing w:line="360" w:lineRule="auto" w:after="20"/>
      </w:pPr>
      <w:r>
        <w:t>A.“中等”，因为控制措施薄弱会导致剩余风险保持不变</w:t>
      </w:r>
    </w:p>
    <w:p>
      <w:pPr>
        <w:spacing w:line="360" w:lineRule="auto" w:after="20"/>
      </w:pPr>
      <w:r>
        <w:t>B.“高”，因为控制措施薄弱会导致剩余风险增加</w:t>
      </w:r>
    </w:p>
    <w:p>
      <w:pPr>
        <w:spacing w:line="360" w:lineRule="auto" w:after="20"/>
      </w:pPr>
      <w:r>
        <w:t>C.“中等”，因为特定区域的风险结论可能会有所增加</w:t>
      </w:r>
    </w:p>
    <w:p>
      <w:pPr>
        <w:spacing w:line="360" w:lineRule="auto" w:after="20"/>
      </w:pPr>
      <w:r>
        <w:t>D.“低”，因为控制措施会降低风险</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剩余风险的计算逻辑：固有风险与控制有效性之差</w:t>
      </w:r>
    </w:p>
    <w:p>
      <w:pPr>
        <w:spacing w:line="360" w:lineRule="auto" w:after="40"/>
      </w:pPr>
      <w:r>
        <w:rPr>
          <w:b/>
          <w:shd w:fill="D6E4F0" w:val="clear"/>
        </w:rPr>
        <w:t>核心解析：</w:t>
      </w:r>
    </w:p>
    <w:p>
      <w:pPr>
        <w:spacing w:line="360" w:lineRule="auto" w:after="40"/>
      </w:pPr>
      <w:r>
        <w:t>教材给出的关系是</w:t>
      </w:r>
      <w:r>
        <w:rPr>
          <w:b/>
        </w:rPr>
        <w:t>“固有风险－控制有效性＝剩余风险”</w:t>
      </w:r>
      <w:r>
        <w:rPr>
          <w:sz w:val="15"/>
          <w:vertAlign w:val="superscript"/>
        </w:rPr>
        <w:t>P278</w:t>
      </w:r>
      <w:r>
        <w:t>。固有风险为“中等”而控制有效性“低于令人满意”，说明控制未能充分缓释已识别的风险，因此不能将剩余风险评为“低”。在题目给定的评级中，B项最能体现控制薄弱后仍保留较高风险的结果。但教材的公式本身不能单独推导出“高”这一具体等级；最终评级还取决于机构的风险评分矩阵和等级映射规则。</w:t>
      </w:r>
    </w:p>
    <w:p>
      <w:pPr>
        <w:spacing w:line="360" w:lineRule="auto" w:after="40"/>
      </w:pPr>
      <w:r>
        <w:rPr>
          <w:b/>
          <w:shd w:fill="D6E4F0" w:val="clear"/>
        </w:rPr>
        <w:t>教材原句：</w:t>
      </w:r>
    </w:p>
    <w:p>
      <w:pPr>
        <w:spacing w:line="360" w:lineRule="auto" w:after="40"/>
      </w:pPr>
      <w:r>
        <w:t>"The formula for calculating residual risk is: inherent risk minus control effectiveness equals residual risk (inherent risk – control effectiveness = residual risk)."</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A项以“控制薄弱”直接推导出剩余风险必然“保持不变”。控制薄弱表明缓释作用不足，但具体评级仍需结合评分矩阵，不能由该条件直接得出“保持不变”。</w:t>
      </w:r>
    </w:p>
    <w:p>
      <w:pPr>
        <w:spacing w:line="360" w:lineRule="auto" w:after="40"/>
      </w:pPr>
      <w:r>
        <w:rPr>
          <w:b/>
          <w:shd w:fill="D6E4F0" w:val="clear"/>
        </w:rPr>
        <w:t>C项错误：</w:t>
      </w:r>
    </w:p>
    <w:p>
      <w:pPr>
        <w:spacing w:line="360" w:lineRule="auto" w:after="40"/>
      </w:pPr>
      <w:r>
        <w:t>C项提到“特定区域的风险结论”，但题干询问的是本次年度评估的剩余风险，该理由没有直接解释控制有效性不足对这一结论的影响。</w:t>
      </w:r>
    </w:p>
    <w:p>
      <w:pPr>
        <w:spacing w:line="360" w:lineRule="auto" w:after="40"/>
      </w:pPr>
      <w:r>
        <w:rPr>
          <w:b/>
          <w:shd w:fill="D6E4F0" w:val="clear"/>
        </w:rPr>
        <w:t>D项错误：</w:t>
      </w:r>
    </w:p>
    <w:p>
      <w:pPr>
        <w:spacing w:line="360" w:lineRule="auto" w:after="40"/>
      </w:pPr>
      <w:r>
        <w:t>选项D以“控制措施会降低风险”为由得出“低”。控制只有在有效时才能显著降低风险；题干已说明控制有效性低于令人满意，因此“低”与题干条件不符。</w:t>
      </w:r>
    </w:p>
    <w:p>
      <w:pPr>
        <w:spacing w:line="360" w:lineRule="auto" w:after="40"/>
      </w:pPr>
      <w:r>
        <w:rPr>
          <w:b/>
          <w:shd w:fill="D6E4F0" w:val="clear"/>
        </w:rPr>
        <w:t>易错提醒：</w:t>
      </w:r>
    </w:p>
    <w:p>
      <w:pPr>
        <w:spacing w:line="360" w:lineRule="auto" w:after="40"/>
      </w:pPr>
      <w:r>
        <w:t>剩余风险是考虑控制措施后仍然存在的风险。控制薄弱意味着缓释作用有限，但并不意味着剩余风险在数学上高于固有风险。将评价映射为“高”、“中”或“低”时，还需遵循机构的风险评分矩阵。</w:t>
      </w:r>
    </w:p>
    <w:p>
      <w:pPr>
        <w:spacing w:line="360" w:lineRule="auto" w:after="120"/>
      </w:pPr>
      <w:r/>
    </w:p>
    <w:p>
      <w:pPr>
        <w:spacing w:line="360" w:lineRule="auto" w:after="40"/>
      </w:pPr>
      <w:r>
        <w:t>7. 一家金融机构正在进行全企业范围的风险评估(EWRA),发现其私人银行部门存在较高的固有洗钱风险,原因是客户资产净值高且财务结构复杂.不过,该机构已实施了严格的客户尽职调查(CDD)和强化尽职调查(EDD)程序,并配备了先进的交易监控系统.这些控制措施会如何影响剩余风险的评估？</w:t>
      </w:r>
    </w:p>
    <w:p>
      <w:pPr>
        <w:spacing w:line="360" w:lineRule="auto" w:after="20"/>
      </w:pPr>
      <w:r>
        <w:t>A.剩余风险将被完全消除,因为这些控制措施足以降低所有潜在风险.</w:t>
      </w:r>
    </w:p>
    <w:p>
      <w:pPr>
        <w:spacing w:line="360" w:lineRule="auto" w:after="20"/>
      </w:pPr>
      <w:r>
        <w:t>B.由于现有控制措施的有效性,剩余风险将显著降低.</w:t>
      </w:r>
    </w:p>
    <w:p>
      <w:pPr>
        <w:spacing w:line="360" w:lineRule="auto" w:after="20"/>
      </w:pPr>
      <w:r>
        <w:t>C.由于私人银行业务的固有性质,剩余风险仍将居高不下</w:t>
      </w:r>
    </w:p>
    <w:p>
      <w:pPr>
        <w:spacing w:line="360" w:lineRule="auto" w:after="20"/>
      </w:pPr>
      <w:r>
        <w:t>D.剩余风险会适度降低,但可能仍需进一步采取控制措施才能达到可接受的水平</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根据控制有效性评估固有风险转化后的剩余风险</w:t>
      </w:r>
    </w:p>
    <w:p>
      <w:pPr>
        <w:spacing w:line="360" w:lineRule="auto" w:after="40"/>
      </w:pPr>
      <w:r>
        <w:rPr>
          <w:b/>
          <w:shd w:fill="D6E4F0" w:val="clear"/>
        </w:rPr>
        <w:t>核心解析：</w:t>
      </w:r>
    </w:p>
    <w:p>
      <w:pPr>
        <w:spacing w:line="360" w:lineRule="auto" w:after="40"/>
      </w:pPr>
      <w:r>
        <w:t>教材将固有风险定义为实施任何缓解控制前的风险</w:t>
      </w:r>
      <w:r>
        <w:rPr>
          <w:sz w:val="15"/>
          <w:vertAlign w:val="superscript"/>
        </w:rPr>
        <w:t>P275</w:t>
      </w:r>
      <w:r>
        <w:t>，并以</w:t>
      </w:r>
      <w:r>
        <w:rPr>
          <w:b/>
        </w:rPr>
        <w:t>“固有风险 − 控制有效性 = 剩余风险”</w:t>
      </w:r>
      <w:r>
        <w:t>说明二者关系</w:t>
      </w:r>
      <w:r>
        <w:rPr>
          <w:sz w:val="15"/>
          <w:vertAlign w:val="superscript"/>
        </w:rPr>
        <w:t>P278</w:t>
      </w:r>
      <w:r>
        <w:t>。本题私人银行客户净值高、财务结构复杂，说明固有风险较高；但题干同时明确存在严格的CDD/EDD程序和先进交易监控系统，问题要求评价这些控制对剩余风险的影响，而不是重新评价私人银行业务的固有风险。</w:t>
      </w:r>
    </w:p>
    <w:p>
      <w:pPr>
        <w:spacing w:line="360" w:lineRule="auto" w:after="40"/>
      </w:pPr>
      <w:r>
        <w:t>教材进一步给出，高固有风险客户在EDD、资金来源/财富核实和持续监控等控制措施被评估为有效时，剩余风险可能降至中等或低水平</w:t>
      </w:r>
      <w:r>
        <w:rPr>
          <w:sz w:val="15"/>
          <w:vertAlign w:val="superscript"/>
        </w:rPr>
        <w:t>P278</w:t>
      </w:r>
      <w:r>
        <w:t>。因此，题干所说的“robust” CDD/EDD及“sophisticated”交易监控，支持</w:t>
      </w:r>
      <w:r>
        <w:rPr>
          <w:b/>
        </w:rPr>
        <w:t>控制有效性较高、剩余风险相对固有风险实质下降</w:t>
      </w:r>
      <w:r>
        <w:t>的判断。这里的“显著”是依据教材所举“高固有风险降至中或低”的情形作出的比较判断，并非声称风险被消除。</w:t>
      </w:r>
    </w:p>
    <w:p>
      <w:pPr>
        <w:spacing w:line="360" w:lineRule="auto" w:after="40"/>
      </w:pPr>
      <w:r>
        <w:t>综上，在给定选项中，B与题干和教材更符合：有效控制使剩余风险显著降低，但剩余风险仍应结合风险容忍度继续评估；若仍超出容忍度，再制定行动计划。</w:t>
      </w:r>
    </w:p>
    <w:p>
      <w:pPr>
        <w:spacing w:line="360" w:lineRule="auto" w:after="40"/>
      </w:pPr>
      <w:r>
        <w:rPr>
          <w:b/>
          <w:shd w:fill="D6E4F0" w:val="clear"/>
        </w:rPr>
        <w:t>教材原句：</w:t>
      </w:r>
    </w:p>
    <w:p>
      <w:pPr>
        <w:spacing w:line="360" w:lineRule="auto" w:after="40"/>
      </w:pPr>
      <w:r>
        <w:t>"The formula for calculating residual risk is: inherent risk minus control effectiveness equals residual risk (inherent risk − control effectiveness = residual risk)."</w:t>
      </w:r>
      <w:r>
        <w:rPr>
          <w:sz w:val="15"/>
          <w:vertAlign w:val="superscript"/>
        </w:rPr>
        <w:t>P278</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控制措施的目标是将风险降低到可接受的剩余风险水平，而不是保证消除所有潜在风险。“完全消除”把风险降低绝对化，超出题干和教材支持范围。</w:t>
      </w:r>
    </w:p>
    <w:p>
      <w:pPr>
        <w:spacing w:line="360" w:lineRule="auto" w:after="40"/>
      </w:pPr>
      <w:r>
        <w:rPr>
          <w:b/>
          <w:shd w:fill="D6E4F0" w:val="clear"/>
        </w:rPr>
        <w:t>C项错误：</w:t>
      </w:r>
    </w:p>
    <w:p>
      <w:pPr>
        <w:spacing w:line="360" w:lineRule="auto" w:after="40"/>
      </w:pPr>
      <w:r>
        <w:t>该项只根据私人银行业务的固有性质判断结果，忽略了题干明确给出的CDD/EDD和交易监控控制效果；教材说明控制有效性会影响固有风险转化后的剩余风险</w:t>
      </w:r>
      <w:r>
        <w:rPr>
          <w:sz w:val="15"/>
          <w:vertAlign w:val="superscript"/>
        </w:rPr>
        <w:t>P278-P279</w:t>
      </w:r>
      <w:r>
        <w:t>。</w:t>
      </w:r>
    </w:p>
    <w:p>
      <w:pPr>
        <w:spacing w:line="360" w:lineRule="auto" w:after="40"/>
      </w:pPr>
      <w:r>
        <w:rPr>
          <w:b/>
          <w:shd w:fill="D6E4F0" w:val="clear"/>
        </w:rPr>
        <w:t>D项错误：</w:t>
      </w:r>
    </w:p>
    <w:p>
      <w:pPr>
        <w:spacing w:line="360" w:lineRule="auto" w:after="40"/>
      </w:pPr>
      <w:r>
        <w:t>剩余风险确实可能还需进一步控制，但教材要求先根据剩余风险判断是否超出风险容忍度</w:t>
      </w:r>
      <w:r>
        <w:rPr>
          <w:sz w:val="15"/>
          <w:vertAlign w:val="superscript"/>
        </w:rPr>
        <w:t>P279</w:t>
      </w:r>
      <w:r>
        <w:t>。题干没有提供现有控制无效或剩余风险仍超出容忍度的事实；因此，“适度降低且仍需进一步控制”增加了未经给出的条件，匹配度不如B。</w:t>
      </w:r>
    </w:p>
    <w:p>
      <w:pPr>
        <w:spacing w:line="360" w:lineRule="auto" w:after="40"/>
      </w:pPr>
      <w:r>
        <w:rPr>
          <w:b/>
          <w:shd w:fill="D6E4F0" w:val="clear"/>
        </w:rPr>
        <w:t>易错提醒：</w:t>
      </w:r>
    </w:p>
    <w:p>
      <w:pPr>
        <w:spacing w:line="360" w:lineRule="auto" w:after="40"/>
      </w:pPr>
      <w:r>
        <w:t>固有风险是控制措施实施前的原始风险敞口</w:t>
      </w:r>
      <w:r>
        <w:rPr>
          <w:sz w:val="15"/>
          <w:vertAlign w:val="superscript"/>
        </w:rPr>
        <w:t>P275</w:t>
      </w:r>
      <w:r>
        <w:t>，剩余风险是应用控制措施后残余的风险</w:t>
      </w:r>
      <w:r>
        <w:rPr>
          <w:sz w:val="15"/>
          <w:vertAlign w:val="superscript"/>
        </w:rPr>
        <w:t>P278</w:t>
      </w:r>
      <w:r>
        <w:t>。不要把“风险显著降低”偷换成“风险完全消除”；是否需要进一步控制，还要看剩余风险是否超出风险容忍度</w:t>
      </w:r>
      <w:r>
        <w:rPr>
          <w:sz w:val="15"/>
          <w:vertAlign w:val="superscript"/>
        </w:rPr>
        <w:t>P279</w:t>
      </w:r>
      <w:r>
        <w:t>。</w:t>
      </w:r>
    </w:p>
    <w:p>
      <w:pPr>
        <w:spacing w:line="360" w:lineRule="auto" w:after="120"/>
      </w:pPr>
      <w:r/>
    </w:p>
    <w:p>
      <w:pPr>
        <w:spacing w:line="360" w:lineRule="auto" w:after="40"/>
      </w:pPr>
      <w:r>
        <w:t>8. 金融机构（FI）应为拟开立新银行账户的新企业客户审查哪些风险因素？（选择三项。）</w:t>
      </w:r>
    </w:p>
    <w:p>
      <w:pPr>
        <w:spacing w:line="360" w:lineRule="auto" w:after="20"/>
      </w:pPr>
      <w:r>
        <w:t>A.新客户目前开户或曾经开户的所有金融机构</w:t>
      </w:r>
    </w:p>
    <w:p>
      <w:pPr>
        <w:spacing w:line="360" w:lineRule="auto" w:after="20"/>
      </w:pPr>
      <w:r>
        <w:t>B.该企业客户所从事的业务类型</w:t>
      </w:r>
    </w:p>
    <w:p>
      <w:pPr>
        <w:spacing w:line="360" w:lineRule="auto" w:after="20"/>
      </w:pPr>
      <w:r>
        <w:t>C.新客户所有员工的就业情况和信息</w:t>
      </w:r>
    </w:p>
    <w:p>
      <w:pPr>
        <w:spacing w:line="360" w:lineRule="auto" w:after="20"/>
      </w:pPr>
      <w:r>
        <w:t>D.客户所属的国家或地区,或客户开展业务的国家或地区</w:t>
      </w:r>
    </w:p>
    <w:p>
      <w:pPr>
        <w:spacing w:line="360" w:lineRule="auto" w:after="20"/>
      </w:pPr>
      <w:r>
        <w:t>E.高级管理人员的身份以及所有获授权操作该账户的个人身份</w:t>
      </w:r>
    </w:p>
    <w:p>
      <w:pPr>
        <w:spacing w:line="360" w:lineRule="auto" w:after="40"/>
      </w:pPr>
      <w:r>
        <w:t>答案:B、D、E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企业客户开户时CDD风险因素审查的核心维度</w:t>
      </w:r>
    </w:p>
    <w:p>
      <w:pPr>
        <w:spacing w:line="360" w:lineRule="auto" w:after="40"/>
      </w:pPr>
      <w:r>
        <w:rPr>
          <w:b/>
          <w:shd w:fill="D6E4F0" w:val="clear"/>
        </w:rPr>
        <w:t>核心解析：</w:t>
      </w:r>
    </w:p>
    <w:p>
      <w:pPr>
        <w:spacing w:line="360" w:lineRule="auto" w:after="40"/>
      </w:pPr>
      <w:r>
        <w:t>教材在阐述客户风险评级时列出</w:t>
      </w:r>
      <w:r>
        <w:rPr>
          <w:b/>
        </w:rPr>
        <w:t>行业、交易量、腐败指数和地理位置</w:t>
      </w:r>
      <w:r>
        <w:t>，因此B“业务类型”和D“国家或地区”属于直接影响客户风险评级的因素</w:t>
      </w:r>
      <w:r>
        <w:rPr>
          <w:sz w:val="15"/>
          <w:vertAlign w:val="superscript"/>
        </w:rPr>
        <w:t>P275</w:t>
      </w:r>
      <w:r>
        <w:t>。E的性质略有不同：它不是风险高低指标，而是法人客户开户CDD中的身份核实要求；教材要求验证董事、高级管理层和授权签字人，与选项所述高级管理人员及获授权操作账户者直接对应</w:t>
      </w:r>
      <w:r>
        <w:rPr>
          <w:sz w:val="15"/>
          <w:vertAlign w:val="superscript"/>
        </w:rPr>
        <w:t>P311</w:t>
      </w:r>
      <w:r>
        <w:t>。题干将风险审查和开户CDD要素合并询问，因而B、D、E是三个最符合教材的选项。</w:t>
      </w:r>
    </w:p>
    <w:p>
      <w:pPr>
        <w:spacing w:line="360" w:lineRule="auto" w:after="40"/>
      </w:pPr>
      <w:r>
        <w:rPr>
          <w:b/>
          <w:shd w:fill="D6E4F0" w:val="clear"/>
        </w:rPr>
        <w:t>教材原句：</w:t>
      </w:r>
    </w:p>
    <w:p>
      <w:pPr>
        <w:spacing w:line="360" w:lineRule="auto" w:after="40"/>
      </w:pPr>
      <w:r>
        <w:t>"For customers, risk rating generally considers their industry, transaction volume, corruption index, and geographic location."</w:t>
      </w:r>
      <w:r>
        <w:rPr>
          <w:sz w:val="15"/>
          <w:vertAlign w:val="superscript"/>
        </w:rPr>
        <w:t>P275</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选项要求审查客户“所有”当前及以往往来的金融机构，范围过宽。法人客户开户审查的重点是客户自身的身份、业务、地理风险以及所有权和账户操作人员，而不是穷尽其全部历史银行关系，因此A不如B、D、E匹配。</w:t>
      </w:r>
    </w:p>
    <w:p>
      <w:pPr>
        <w:spacing w:line="360" w:lineRule="auto" w:after="40"/>
      </w:pPr>
      <w:r>
        <w:rPr>
          <w:b/>
          <w:shd w:fill="D6E4F0" w:val="clear"/>
        </w:rPr>
        <w:t>C项错误：</w:t>
      </w:r>
    </w:p>
    <w:p>
      <w:pPr>
        <w:spacing w:line="360" w:lineRule="auto" w:after="40"/>
      </w:pPr>
      <w:r>
        <w:t>教材对自然人客户列有就业和收入信息</w:t>
      </w:r>
      <w:r>
        <w:rPr>
          <w:sz w:val="15"/>
          <w:vertAlign w:val="superscript"/>
        </w:rPr>
        <w:t>P309</w:t>
      </w:r>
      <w:r>
        <w:t>；法人客户则要求核实董事、高级管理层和授权签字人等相关人员</w:t>
      </w:r>
      <w:r>
        <w:rPr>
          <w:sz w:val="15"/>
          <w:vertAlign w:val="superscript"/>
        </w:rPr>
        <w:t>P311</w:t>
      </w:r>
      <w:r>
        <w:t>。选项C把范围扩大到新客户的“所有员工”，既不是企业风险评级因素，也超出了这里列出的法人身份核实对象；E与法人开户CDD要求更直接对应。</w:t>
      </w:r>
    </w:p>
    <w:p>
      <w:pPr>
        <w:spacing w:line="360" w:lineRule="auto" w:after="40"/>
      </w:pPr>
      <w:r>
        <w:rPr>
          <w:b/>
          <w:shd w:fill="D6E4F0" w:val="clear"/>
        </w:rPr>
        <w:t>易错提醒：</w:t>
      </w:r>
    </w:p>
    <w:p>
      <w:pPr>
        <w:spacing w:line="360" w:lineRule="auto" w:after="40"/>
      </w:pPr>
      <w:r>
        <w:t>自然人客户资料可以包括就业和收入信息</w:t>
      </w:r>
      <w:r>
        <w:rPr>
          <w:sz w:val="15"/>
          <w:vertAlign w:val="superscript"/>
        </w:rPr>
        <w:t>P309</w:t>
      </w:r>
      <w:r>
        <w:t>；法人客户CDD则需要核实法人本身及与其控制、管理或账户操作有关的人员</w:t>
      </w:r>
      <w:r>
        <w:rPr>
          <w:sz w:val="15"/>
          <w:vertAlign w:val="superscript"/>
        </w:rPr>
        <w:t>P311</w:t>
      </w:r>
      <w:r>
        <w:t>。本题引用的教材条目直接列出董事、高级管理层和授权签字人，并不要求收集全体员工资料。这里不能把“无需审查所有员工”扩大解释为法人CDD只核实高管和授权签字人。</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