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360" w:lineRule="auto" w:after="240"/>
      </w:pPr>
      <w:r>
        <w:t>试卷名称:CAMS CH13</w:t>
      </w:r>
    </w:p>
    <w:p>
      <w:pPr>
        <w:spacing w:line="360" w:lineRule="auto" w:after="160"/>
      </w:pPr>
      <w:r>
        <w:t>一、单项选择题</w:t>
      </w:r>
    </w:p>
    <w:p>
      <w:pPr>
        <w:spacing w:line="360" w:lineRule="auto" w:after="40"/>
      </w:pPr>
      <w:r>
        <w:t>1. 在考虑从供应商处购买用于客户生命周期管理的AFC工具时,在此过程中应采取以下哪两项措施？（选择两项。）</w:t>
      </w:r>
    </w:p>
    <w:p>
      <w:pPr>
        <w:spacing w:line="360" w:lineRule="auto" w:after="20"/>
      </w:pPr>
      <w:r>
        <w:t>A.确保工具兼容，并且能够与现有系统集成</w:t>
      </w:r>
    </w:p>
    <w:p>
      <w:pPr>
        <w:spacing w:line="360" w:lineRule="auto" w:after="20"/>
      </w:pPr>
      <w:r>
        <w:t>B.评估内部员工是否能够对这些工具进行培训</w:t>
      </w:r>
    </w:p>
    <w:p>
      <w:pPr>
        <w:spacing w:line="360" w:lineRule="auto" w:after="20"/>
      </w:pPr>
      <w:r>
        <w:t>C.评估工具的实施成本和维护成本</w:t>
      </w:r>
    </w:p>
    <w:p>
      <w:pPr>
        <w:spacing w:line="360" w:lineRule="auto" w:after="20"/>
      </w:pPr>
      <w:r>
        <w:t>D.根据供应商工具所提供的功能来确定业务需求</w:t>
      </w:r>
    </w:p>
    <w:p>
      <w:pPr>
        <w:spacing w:line="360" w:lineRule="auto" w:after="40"/>
      </w:pPr>
      <w:r>
        <w:t>答案:A、C</w:t>
      </w:r>
    </w:p>
    <w:p>
      <w:pPr>
        <w:spacing w:line="360" w:lineRule="auto" w:after="40"/>
      </w:pPr>
      <w:r>
        <w:rPr>
          <w:b/>
          <w:shd w:fill="D6E4F0" w:val="clear"/>
        </w:rPr>
        <w:t>解析:</w:t>
      </w:r>
    </w:p>
    <w:p>
      <w:pPr>
        <w:spacing w:line="360" w:lineRule="auto" w:after="40"/>
      </w:pPr>
      <w:r>
        <w:rPr>
          <w:b/>
          <w:shd w:fill="D6E4F0" w:val="clear"/>
        </w:rPr>
        <w:t>考点：</w:t>
      </w:r>
    </w:p>
    <w:p>
      <w:pPr>
        <w:spacing w:line="360" w:lineRule="auto" w:after="40"/>
      </w:pPr>
      <w:r>
        <w:t>采购AFC工具时的关键评估维度：</w:t>
      </w:r>
      <w:r>
        <w:rPr>
          <w:b/>
        </w:rPr>
        <w:t>集成兼容性与总拥有成本</w:t>
      </w:r>
    </w:p>
    <w:p>
      <w:pPr>
        <w:spacing w:line="360" w:lineRule="auto" w:after="40"/>
      </w:pPr>
      <w:r>
        <w:rPr>
          <w:b/>
          <w:shd w:fill="D6E4F0" w:val="clear"/>
        </w:rPr>
        <w:t>核心解析：</w:t>
      </w:r>
    </w:p>
    <w:p>
      <w:pPr>
        <w:spacing w:line="360" w:lineRule="auto" w:after="40"/>
      </w:pPr>
      <w:r>
        <w:t>教材在“客户生命周期管理”（即选项所指的 customer lifecycle）的技术实施场景下给出明确框架：从供应商采购AFC工具时，必须评估自建与采购方案，重点考虑</w:t>
      </w:r>
      <w:r>
        <w:rPr>
          <w:b/>
        </w:rPr>
        <w:t>供应商风险</w:t>
      </w:r>
      <w:r>
        <w:t>、</w:t>
      </w:r>
      <w:r>
        <w:rPr>
          <w:b/>
        </w:rPr>
        <w:t>与现有系统和数据的集成</w:t>
      </w:r>
      <w:r>
        <w:t>、</w:t>
      </w:r>
      <w:r>
        <w:rPr>
          <w:b/>
        </w:rPr>
        <w:t>总拥有成本</w:t>
      </w:r>
      <w:r>
        <w:t>和投资回报</w:t>
      </w:r>
      <w:r>
        <w:rPr>
          <w:sz w:val="15"/>
          <w:vertAlign w:val="superscript"/>
        </w:rPr>
        <w:t>P370</w:t>
      </w:r>
      <w:r>
        <w:t>。该框架直接覆盖了两项正确措施——选项A对应“与现有系统集成”，选项C对应“总拥有成本”中的实施成本和维护成本。</w:t>
      </w:r>
      <w:r>
        <w:rPr>
          <w:sz w:val="15"/>
          <w:vertAlign w:val="superscript"/>
        </w:rPr>
        <w:t>P378</w:t>
      </w:r>
      <w:r>
        <w:t>进一步将“总拥有成本”具体化为：评估持续维护、许可、合规更新及人员需求以判断长期可行性。题干问的是购买AFC工具实施到客户生命周期中“过程中”应采取的措施，上述两项正是教材在这一阶段列出的核心考量维度。</w:t>
      </w:r>
    </w:p>
    <w:p>
      <w:pPr>
        <w:spacing w:line="360" w:lineRule="auto" w:after="40"/>
      </w:pPr>
      <w:r>
        <w:rPr>
          <w:b/>
          <w:shd w:fill="D6E4F0" w:val="clear"/>
        </w:rPr>
        <w:t>教材原句：</w:t>
      </w:r>
    </w:p>
    <w:p>
      <w:pPr>
        <w:spacing w:line="360" w:lineRule="auto" w:after="40"/>
      </w:pPr>
      <w:r>
        <w:t>"This involves assessing whether to build in-house solutions or buy from a vendor, considering vendor risks, integration with legacy systems and data, total cost of ownership, and return on investment."</w:t>
      </w:r>
    </w:p>
    <w:p>
      <w:pPr>
        <w:spacing w:line="360" w:lineRule="auto" w:after="40"/>
      </w:pPr>
      <w:r>
        <w:rPr>
          <w:b/>
          <w:shd w:fill="D6E4F0" w:val="clear"/>
        </w:rPr>
        <w:t>错误项分析：</w:t>
      </w:r>
    </w:p>
    <w:p>
      <w:pPr>
        <w:spacing w:line="360" w:lineRule="auto" w:after="40"/>
      </w:pPr>
      <w:r>
        <w:rPr>
          <w:b/>
          <w:shd w:fill="D6E4F0" w:val="clear"/>
        </w:rPr>
        <w:t>B项错误：</w:t>
      </w:r>
    </w:p>
    <w:p>
      <w:pPr>
        <w:spacing w:line="360" w:lineRule="auto" w:after="40"/>
      </w:pPr>
      <w:r>
        <w:t>教材在</w:t>
      </w:r>
      <w:r>
        <w:rPr>
          <w:sz w:val="15"/>
          <w:vertAlign w:val="superscript"/>
        </w:rPr>
        <w:t>P166</w:t>
      </w:r>
      <w:r>
        <w:t>将员工培训列为KYC合规计划的关键要素，在</w:t>
      </w:r>
      <w:r>
        <w:rPr>
          <w:sz w:val="15"/>
          <w:vertAlign w:val="superscript"/>
        </w:rPr>
        <w:t>P293</w:t>
      </w:r>
      <w:r>
        <w:t>将培训和员工教育列为新政策实施过渡期的活动。但这些属于合规框架的整体要求，而非题干所问的“从供应商处购买AFC工具并实施到客户生命周期过程中”的特定评估措施。教材在</w:t>
      </w:r>
      <w:r>
        <w:rPr>
          <w:sz w:val="15"/>
          <w:vertAlign w:val="superscript"/>
        </w:rPr>
        <w:t>P370-378</w:t>
      </w:r>
      <w:r>
        <w:t>描述采购评估阶段时，列出的是集成、成本和供应商风险等维度，未将内部员工培训能力纳入这一阶段的评估清单。因此题干条件更直接匹配A和C而非B。</w:t>
      </w:r>
    </w:p>
    <w:p>
      <w:pPr>
        <w:spacing w:line="360" w:lineRule="auto" w:after="40"/>
      </w:pPr>
      <w:r>
        <w:rPr>
          <w:b/>
          <w:shd w:fill="D6E4F0" w:val="clear"/>
        </w:rPr>
        <w:t>D项错误：</w:t>
      </w:r>
    </w:p>
    <w:p>
      <w:pPr>
        <w:spacing w:line="360" w:lineRule="auto" w:after="40"/>
      </w:pPr>
      <w:r>
        <w:t>教材在</w:t>
      </w:r>
      <w:r>
        <w:rPr>
          <w:sz w:val="15"/>
          <w:vertAlign w:val="superscript"/>
        </w:rPr>
        <w:t>P370</w:t>
      </w:r>
      <w:r>
        <w:t>案例中展示的流程是先评估技术需求（assessing the bank's technological needs），识别差距后确定哪些领域需要新技术，再进入市场评估阶段。由此可推断，正确的顺序是“业务需求决定工具功能”，而非“供应商功能倒推业务需求”。题干更匹配教材的风险为本流程——先评估自身需求和差距，再选择匹配的解决方案，而非反过来。</w:t>
      </w:r>
    </w:p>
    <w:p>
      <w:pPr>
        <w:spacing w:line="360" w:lineRule="auto" w:after="40"/>
      </w:pPr>
      <w:r>
        <w:rPr>
          <w:b/>
          <w:shd w:fill="D6E4F0" w:val="clear"/>
        </w:rPr>
        <w:t>易错提醒：</w:t>
      </w:r>
    </w:p>
    <w:p>
      <w:pPr>
        <w:spacing w:line="360" w:lineRule="auto" w:after="40"/>
      </w:pPr>
      <w:r>
        <w:t>选D是常见的思维误区——在实际工作中可能会被供应商演示的功能吸引，先认定某个功能强的产品再去想怎么用。但教材的逻辑链是：</w:t>
      </w:r>
      <w:r>
        <w:rPr>
          <w:b/>
        </w:rPr>
        <w:t>风险识别 → 差距分析 → 业务需求确定 → 市场评估 → 工具选择</w:t>
      </w:r>
      <w:r>
        <w:rPr>
          <w:sz w:val="15"/>
          <w:vertAlign w:val="superscript"/>
        </w:rPr>
        <w:t>P370-371</w:t>
      </w:r>
      <w:r>
        <w:t>。业务需求在先，工具功能匹配在其后。这一顺序本质上是“风险为本方法”在技术采购中的体现</w:t>
      </w:r>
      <w:r>
        <w:rPr>
          <w:sz w:val="15"/>
          <w:vertAlign w:val="superscript"/>
        </w:rPr>
        <w:t>P381</w:t>
      </w:r>
      <w:r>
        <w:t>。</w:t>
      </w:r>
    </w:p>
    <w:sectPr w:rsidR="00797F96" w:rsidSect="007705BD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130425" w14:textId="77777777" w:rsidR="00D502DB" w:rsidRDefault="00D502DB" w:rsidP="004B1ED1">
      <w:r>
        <w:separator/>
      </w:r>
    </w:p>
  </w:endnote>
  <w:endnote w:type="continuationSeparator" w:id="0">
    <w:p w14:paraId="6CC9F455" w14:textId="77777777" w:rsidR="00D502DB" w:rsidRDefault="00D502DB" w:rsidP="004B1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C92F4B" w14:textId="77777777" w:rsidR="00D502DB" w:rsidRDefault="00D502DB" w:rsidP="004B1ED1">
      <w:r>
        <w:separator/>
      </w:r>
    </w:p>
  </w:footnote>
  <w:footnote w:type="continuationSeparator" w:id="0">
    <w:p w14:paraId="68C42F1C" w14:textId="77777777" w:rsidR="00D502DB" w:rsidRDefault="00D502DB" w:rsidP="004B1E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4CB"/>
    <w:rsid w:val="00010147"/>
    <w:rsid w:val="00033C1A"/>
    <w:rsid w:val="00040102"/>
    <w:rsid w:val="000D33A7"/>
    <w:rsid w:val="000F230C"/>
    <w:rsid w:val="000F78D0"/>
    <w:rsid w:val="00131228"/>
    <w:rsid w:val="001462D8"/>
    <w:rsid w:val="0015668A"/>
    <w:rsid w:val="00177DC7"/>
    <w:rsid w:val="001A7D92"/>
    <w:rsid w:val="002077A3"/>
    <w:rsid w:val="00220F69"/>
    <w:rsid w:val="002B050E"/>
    <w:rsid w:val="0033201A"/>
    <w:rsid w:val="0033318A"/>
    <w:rsid w:val="003607DA"/>
    <w:rsid w:val="00367F68"/>
    <w:rsid w:val="00435F1E"/>
    <w:rsid w:val="00474E2F"/>
    <w:rsid w:val="00483F5C"/>
    <w:rsid w:val="004962E1"/>
    <w:rsid w:val="004A749E"/>
    <w:rsid w:val="004B1ED1"/>
    <w:rsid w:val="00526572"/>
    <w:rsid w:val="00573E0A"/>
    <w:rsid w:val="005A2A6F"/>
    <w:rsid w:val="005A7BEF"/>
    <w:rsid w:val="005D7D77"/>
    <w:rsid w:val="00607874"/>
    <w:rsid w:val="00646B58"/>
    <w:rsid w:val="0072289C"/>
    <w:rsid w:val="00745570"/>
    <w:rsid w:val="00753BC4"/>
    <w:rsid w:val="007705BD"/>
    <w:rsid w:val="00797F96"/>
    <w:rsid w:val="007D7360"/>
    <w:rsid w:val="007E7BE2"/>
    <w:rsid w:val="007F09BD"/>
    <w:rsid w:val="00837539"/>
    <w:rsid w:val="008644CB"/>
    <w:rsid w:val="008C76EC"/>
    <w:rsid w:val="008D6C8E"/>
    <w:rsid w:val="009E4018"/>
    <w:rsid w:val="00A13FA3"/>
    <w:rsid w:val="00A167EC"/>
    <w:rsid w:val="00A215D8"/>
    <w:rsid w:val="00B12FCC"/>
    <w:rsid w:val="00BF7B5A"/>
    <w:rsid w:val="00C67B09"/>
    <w:rsid w:val="00CA03E7"/>
    <w:rsid w:val="00CA0B43"/>
    <w:rsid w:val="00CC049E"/>
    <w:rsid w:val="00D502DB"/>
    <w:rsid w:val="00D935DD"/>
    <w:rsid w:val="00DA5DA4"/>
    <w:rsid w:val="00E13904"/>
    <w:rsid w:val="00E176BA"/>
    <w:rsid w:val="00E26F44"/>
    <w:rsid w:val="00E429AB"/>
    <w:rsid w:val="00E63479"/>
    <w:rsid w:val="00EC4A51"/>
    <w:rsid w:val="00EE0B23"/>
    <w:rsid w:val="00F52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D38201"/>
  <w14:defaultImageDpi w14:val="33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Revision"/>
    <w:hidden/>
    <w:uiPriority w:val="99"/>
    <w:semiHidden/>
    <w:rsid w:val="008644CB"/>
  </w:style>
  <w:style w:type="character" w:styleId="a4">
    <w:name w:val="annotation reference"/>
    <w:basedOn w:val="a0"/>
    <w:uiPriority w:val="99"/>
    <w:semiHidden/>
    <w:unhideWhenUsed/>
    <w:rsid w:val="00CA0B43"/>
    <w:rPr>
      <w:sz w:val="21"/>
      <w:szCs w:val="21"/>
    </w:rPr>
  </w:style>
  <w:style w:type="paragraph" w:styleId="a5">
    <w:name w:val="annotation text"/>
    <w:basedOn w:val="a"/>
    <w:link w:val="a6"/>
    <w:uiPriority w:val="99"/>
    <w:semiHidden/>
    <w:unhideWhenUsed/>
    <w:rsid w:val="00CA0B43"/>
    <w:pPr>
      <w:jc w:val="left"/>
    </w:pPr>
  </w:style>
  <w:style w:type="character" w:customStyle="1" w:styleId="a6">
    <w:name w:val="批注文字 字符"/>
    <w:basedOn w:val="a0"/>
    <w:link w:val="a5"/>
    <w:uiPriority w:val="99"/>
    <w:semiHidden/>
    <w:rsid w:val="00CA0B43"/>
  </w:style>
  <w:style w:type="paragraph" w:styleId="a7">
    <w:name w:val="annotation subject"/>
    <w:basedOn w:val="a5"/>
    <w:next w:val="a5"/>
    <w:link w:val="a8"/>
    <w:uiPriority w:val="99"/>
    <w:semiHidden/>
    <w:unhideWhenUsed/>
    <w:rsid w:val="00CA0B43"/>
    <w:rPr>
      <w:b/>
      <w:bCs/>
    </w:rPr>
  </w:style>
  <w:style w:type="character" w:customStyle="1" w:styleId="a8">
    <w:name w:val="批注主题 字符"/>
    <w:basedOn w:val="a6"/>
    <w:link w:val="a7"/>
    <w:uiPriority w:val="99"/>
    <w:semiHidden/>
    <w:rsid w:val="00CA0B43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CA0B43"/>
    <w:rPr>
      <w:rFonts w:ascii="宋体" w:eastAsia="宋体"/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A0B43"/>
    <w:rPr>
      <w:rFonts w:ascii="宋体" w:eastAsia="宋体"/>
      <w:sz w:val="18"/>
      <w:szCs w:val="18"/>
    </w:rPr>
  </w:style>
  <w:style w:type="paragraph" w:styleId="ab">
    <w:name w:val="Document Map"/>
    <w:basedOn w:val="a"/>
    <w:link w:val="ac"/>
    <w:uiPriority w:val="99"/>
    <w:semiHidden/>
    <w:unhideWhenUsed/>
    <w:rsid w:val="00797F96"/>
    <w:rPr>
      <w:rFonts w:ascii="宋体" w:eastAsia="宋体"/>
    </w:rPr>
  </w:style>
  <w:style w:type="character" w:customStyle="1" w:styleId="ac">
    <w:name w:val="文档结构图 字符"/>
    <w:basedOn w:val="a0"/>
    <w:link w:val="ab"/>
    <w:uiPriority w:val="99"/>
    <w:semiHidden/>
    <w:rsid w:val="00797F96"/>
    <w:rPr>
      <w:rFonts w:ascii="宋体" w:eastAsia="宋体"/>
    </w:rPr>
  </w:style>
  <w:style w:type="table" w:styleId="ad">
    <w:name w:val="Table Grid"/>
    <w:basedOn w:val="a1"/>
    <w:uiPriority w:val="39"/>
    <w:rsid w:val="00797F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4B1E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B1E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B1E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B1E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办公室">
      <a:majorFont>
        <a:latin typeface="DengXian Light" panose="020F0302020204030204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love980</dc:creator>
  <cp:keywords/>
  <dc:description/>
  <cp:lastModifiedBy>8613849083012</cp:lastModifiedBy>
  <cp:revision>54</cp:revision>
  <dcterms:created xsi:type="dcterms:W3CDTF">2017-05-14T09:31:00Z</dcterms:created>
  <dcterms:modified xsi:type="dcterms:W3CDTF">2021-12-30T09:44:00Z</dcterms:modified>
</cp:coreProperties>
</file>