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after="240"/>
      </w:pPr>
      <w:r>
        <w:t>试卷名称:CAMS CH14</w:t>
      </w:r>
    </w:p>
    <w:p>
      <w:pPr>
        <w:spacing w:line="360" w:lineRule="auto" w:after="160"/>
      </w:pPr>
      <w:r>
        <w:t>一、单项选择题</w:t>
      </w:r>
    </w:p>
    <w:p>
      <w:pPr>
        <w:spacing w:line="360" w:lineRule="auto" w:after="40"/>
      </w:pPr>
      <w:r>
        <w:t>1. 有三类因素可用于验证某人的身份：持有因素、知识因素和固有因素。以下哪个因素属于固有因素？</w:t>
      </w:r>
    </w:p>
    <w:p>
      <w:pPr>
        <w:spacing w:line="360" w:lineRule="auto" w:after="20"/>
      </w:pPr>
      <w:r>
        <w:t>A.挑战-响应</w:t>
      </w:r>
    </w:p>
    <w:p>
      <w:pPr>
        <w:spacing w:line="360" w:lineRule="auto" w:after="20"/>
      </w:pPr>
      <w:r>
        <w:t>B.指纹</w:t>
      </w:r>
    </w:p>
    <w:p>
      <w:pPr>
        <w:spacing w:line="360" w:lineRule="auto" w:after="20"/>
      </w:pPr>
      <w:r>
        <w:t>C.安全令牌</w:t>
      </w:r>
    </w:p>
    <w:p>
      <w:pPr>
        <w:spacing w:line="360" w:lineRule="auto" w:after="20"/>
      </w:pPr>
      <w:r>
        <w:t>D.密码短语</w:t>
      </w:r>
    </w:p>
    <w:p>
      <w:pPr>
        <w:spacing w:line="360" w:lineRule="auto" w:after="40"/>
      </w:pPr>
      <w:r>
        <w:t>答案:B</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区分多因素认证中inherence与ownership/knowledge的类别归属</w:t>
      </w:r>
    </w:p>
    <w:p>
      <w:pPr>
        <w:spacing w:line="360" w:lineRule="auto" w:after="40"/>
      </w:pPr>
      <w:r>
        <w:rPr>
          <w:b/>
          <w:shd w:fill="D6E4F0" w:val="clear"/>
        </w:rPr>
        <w:t>核心解析：</w:t>
      </w:r>
    </w:p>
    <w:p>
      <w:pPr>
        <w:spacing w:line="360" w:lineRule="auto" w:after="40"/>
      </w:pPr>
      <w:r>
        <w:t>认证方法通常分为三类：Ownership（持有因素，即你拥有的东西）、knowledge（知识因素，即你知道的东西）和</w:t>
      </w:r>
      <w:r>
        <w:rPr>
          <w:b/>
        </w:rPr>
        <w:t>inherence（固有因素，即你本身的特征）</w:t>
      </w:r>
      <w:r>
        <w:rPr>
          <w:sz w:val="15"/>
          <w:vertAlign w:val="superscript"/>
        </w:rPr>
        <w:t>P410</w:t>
      </w:r>
      <w:r>
        <w:t>。教材随后以强多因素认证为例，将security token标为ownership、password或安全问题答案标为knowledge、fingerprint或facial recognition标为inherence</w:t>
      </w:r>
      <w:r>
        <w:rPr>
          <w:sz w:val="15"/>
          <w:vertAlign w:val="superscript"/>
        </w:rPr>
        <w:t>P410</w:t>
      </w:r>
      <w:r>
        <w:t>。题干问哪一项属于inherence，选项B“指纹”正是</w:t>
      </w:r>
      <w:r>
        <w:rPr>
          <w:b/>
        </w:rPr>
        <w:t>身体固有特征</w:t>
      </w:r>
      <w:r>
        <w:t>；C属于持有因素，D与密码同属知识因素，A也不是身体固有特征，因此答案唯一为B。</w:t>
      </w:r>
    </w:p>
    <w:p>
      <w:pPr>
        <w:spacing w:line="360" w:lineRule="auto" w:after="40"/>
      </w:pPr>
      <w:r>
        <w:rPr>
          <w:b/>
          <w:shd w:fill="D6E4F0" w:val="clear"/>
        </w:rPr>
        <w:t>教材原句：</w:t>
      </w:r>
    </w:p>
    <w:p>
      <w:pPr>
        <w:spacing w:line="360" w:lineRule="auto" w:after="40"/>
      </w:pPr>
      <w:r>
        <w:t>"An example of strong MFA would be the combination of a security token, such as a one-time code received on the phone (ownership), a password or answer to a security question (knowledge), and a fingerprint or facial recognition (inherence)."</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“挑战-响应”描述的是一种认证交互方式，其具体类别取决于响应所使用的凭据；这一名称本身不表示“你本身的特征”。相比之下，指纹明确属于inherence。</w:t>
      </w:r>
    </w:p>
    <w:p>
      <w:pPr>
        <w:spacing w:line="360" w:lineRule="auto" w:after="40"/>
      </w:pPr>
      <w:r>
        <w:rPr>
          <w:b/>
          <w:shd w:fill="D6E4F0" w:val="clear"/>
        </w:rPr>
        <w:t>C项错误：</w:t>
      </w:r>
    </w:p>
    <w:p>
      <w:pPr>
        <w:spacing w:line="360" w:lineRule="auto" w:after="40"/>
      </w:pPr>
      <w:r>
        <w:t>“安全令牌”在教材强MFA示例中明确被归入ownership（持有因素）类别——收到手机上的一次性验证码就是你持有所属移动设备的证明</w:t>
      </w:r>
      <w:r>
        <w:rPr>
          <w:sz w:val="15"/>
          <w:vertAlign w:val="superscript"/>
        </w:rPr>
        <w:t>P410</w:t>
      </w:r>
      <w:r>
        <w:t>。题干问的是inherence，ownership虽然也是认证因素之一，但与题干要求不匹配。</w:t>
      </w:r>
    </w:p>
    <w:p>
      <w:pPr>
        <w:spacing w:line="360" w:lineRule="auto" w:after="40"/>
      </w:pPr>
      <w:r>
        <w:rPr>
          <w:b/>
          <w:shd w:fill="D6E4F0" w:val="clear"/>
        </w:rPr>
        <w:t>D项错误：</w:t>
      </w:r>
    </w:p>
    <w:p>
      <w:pPr>
        <w:spacing w:line="360" w:lineRule="auto" w:after="40"/>
      </w:pPr>
      <w:r>
        <w:t>“密码短语”与教材列举的password一样，是用户知道的信息，属于knowledge，而非inherence</w:t>
      </w:r>
      <w:r>
        <w:rPr>
          <w:sz w:val="15"/>
          <w:vertAlign w:val="superscript"/>
        </w:rPr>
        <w:t>P410</w:t>
      </w:r>
      <w:r>
        <w:t>。</w:t>
      </w:r>
    </w:p>
    <w:p>
      <w:pPr>
        <w:spacing w:line="360" w:lineRule="auto" w:after="40"/>
      </w:pPr>
      <w:r>
        <w:rPr>
          <w:b/>
          <w:shd w:fill="D6E4F0" w:val="clear"/>
        </w:rPr>
        <w:t>易错提醒：</w:t>
      </w:r>
    </w:p>
    <w:p>
      <w:pPr>
        <w:spacing w:line="360" w:lineRule="auto" w:after="40"/>
      </w:pPr>
      <w:r>
        <w:t>三类因素可按“something you have / know / are”区分：安全令牌是ownership，密码或安全问题答案是knowledge，指纹或面部识别是inherence</w:t>
      </w:r>
      <w:r>
        <w:rPr>
          <w:sz w:val="15"/>
          <w:vertAlign w:val="superscript"/>
        </w:rPr>
        <w:t>P410</w:t>
      </w:r>
      <w:r>
        <w:t>。判断时看验证依赖的是持有物、记忆信息还是个人身体特征。</w:t>
      </w:r>
    </w:p>
    <w:p>
      <w:pPr>
        <w:spacing w:line="360" w:lineRule="auto" w:after="120"/>
      </w:pPr>
      <w:r/>
    </w:p>
    <w:p>
      <w:pPr>
        <w:spacing w:line="360" w:lineRule="auto" w:after="40"/>
      </w:pPr>
      <w:r>
        <w:t>2. 持续KYC包括：（选择两项。）</w:t>
      </w:r>
    </w:p>
    <w:p>
      <w:pPr>
        <w:spacing w:line="360" w:lineRule="auto" w:after="20"/>
      </w:pPr>
      <w:r>
        <w:t>A.触发器能够实时识别静态数据变化以及基于客户行为的数据变化</w:t>
      </w:r>
    </w:p>
    <w:p>
      <w:pPr>
        <w:spacing w:line="360" w:lineRule="auto" w:after="20"/>
      </w:pPr>
      <w:r>
        <w:t>B.每年、每三年和每五年定期更新</w:t>
      </w:r>
    </w:p>
    <w:p>
      <w:pPr>
        <w:spacing w:line="360" w:lineRule="auto" w:after="20"/>
      </w:pPr>
      <w:r>
        <w:t>C.能够根据客户数据而非仅依据时间表来更好地确定优先级</w:t>
      </w:r>
    </w:p>
    <w:p>
      <w:pPr>
        <w:spacing w:line="360" w:lineRule="auto" w:after="20"/>
      </w:pPr>
      <w:r>
        <w:t>D.将客户分类为不同风险类别</w:t>
      </w:r>
    </w:p>
    <w:p>
      <w:pPr>
        <w:spacing w:line="360" w:lineRule="auto" w:after="40"/>
      </w:pPr>
      <w:r>
        <w:t>答案:A、C</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区分Perpetual KYC与传统定期KYC的核心特征</w:t>
      </w:r>
    </w:p>
    <w:p>
      <w:pPr>
        <w:spacing w:line="360" w:lineRule="auto" w:after="40"/>
      </w:pPr>
      <w:r>
        <w:rPr>
          <w:b/>
          <w:shd w:fill="D6E4F0" w:val="clear"/>
        </w:rPr>
        <w:t>核心解析：</w:t>
      </w:r>
    </w:p>
    <w:p>
      <w:pPr>
        <w:spacing w:line="360" w:lineRule="auto" w:after="40"/>
      </w:pPr>
      <w:r>
        <w:t>教材将Perpetual KYC界定为持续过程：它</w:t>
      </w:r>
      <w:r>
        <w:rPr>
          <w:b/>
        </w:rPr>
        <w:t>持续监控最新数据点，识别可能触发客户KYC审查的事项</w:t>
      </w:r>
      <w:r>
        <w:t>，并通过客户行为和情况变化进行近实时更新</w:t>
      </w:r>
      <w:r>
        <w:rPr>
          <w:sz w:val="15"/>
          <w:vertAlign w:val="superscript"/>
        </w:rPr>
        <w:t>P406</w:t>
      </w:r>
      <w:r>
        <w:t>。教材还明确说明，该过程能够捕捉地址等静态数据变化</w:t>
      </w:r>
      <w:r>
        <w:rPr>
          <w:sz w:val="15"/>
          <w:vertAlign w:val="superscript"/>
        </w:rPr>
        <w:t>P406</w:t>
      </w:r>
      <w:r>
        <w:t>。因此，A所述触发器、静态数据变化和客户行为数据均与教材直接对应；其中选项使用的“实时”应按教材更审慎的“近实时”理解，而不是保证零延迟处理。教材进一步指出，数据驱动方法使客户档案审查聚焦最高风险客户，并按“需要时即审查”而非仅依固定周期安排</w:t>
      </w:r>
      <w:r>
        <w:rPr>
          <w:sz w:val="15"/>
          <w:vertAlign w:val="superscript"/>
        </w:rPr>
        <w:t>P407</w:t>
      </w:r>
      <w:r>
        <w:t>，直接支持C。故应选A、C。</w:t>
      </w:r>
    </w:p>
    <w:p>
      <w:pPr>
        <w:spacing w:line="360" w:lineRule="auto" w:after="40"/>
      </w:pPr>
      <w:r>
        <w:rPr>
          <w:b/>
          <w:shd w:fill="D6E4F0" w:val="clear"/>
        </w:rPr>
        <w:t>教材原句：</w:t>
      </w:r>
    </w:p>
    <w:p>
      <w:pPr>
        <w:spacing w:line="360" w:lineRule="auto" w:after="40"/>
      </w:pPr>
      <w:r>
        <w:t>"Perpetual KYC monitors various up-to-date data points on an ongoing basis to identify any triggers that might warrant a KYC review of a customer."</w:t>
      </w:r>
      <w:r>
        <w:rPr>
          <w:sz w:val="15"/>
          <w:vertAlign w:val="superscript"/>
        </w:rPr>
        <w:t>P406</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B选项描述的“每年、每三年和每五年定期更新”是传统定期KYC的典型周期，教材指出这类周期过长、导致客户数据过时，机构正是为了规避此问题而转向Perpetual KYC</w:t>
      </w:r>
      <w:r>
        <w:rPr>
          <w:sz w:val="15"/>
          <w:vertAlign w:val="superscript"/>
        </w:rPr>
        <w:t>P406</w:t>
      </w:r>
      <w:r>
        <w:t>。相比之下，题干更直接对应的是基于触发器而非固定时间表的持续更新。</w:t>
      </w:r>
    </w:p>
    <w:p>
      <w:pPr>
        <w:spacing w:line="360" w:lineRule="auto" w:after="40"/>
      </w:pPr>
      <w:r>
        <w:rPr>
          <w:b/>
          <w:shd w:fill="D6E4F0" w:val="clear"/>
        </w:rPr>
        <w:t>D项错误：</w:t>
      </w:r>
    </w:p>
    <w:p>
      <w:pPr>
        <w:spacing w:line="360" w:lineRule="auto" w:after="40"/>
      </w:pPr>
      <w:r>
        <w:t>教材介绍Perpetual KYC前，先将客户准入时按高、中、低风险类别或风险评分进行分类，明确列为传统KYC流程</w:t>
      </w:r>
      <w:r>
        <w:rPr>
          <w:sz w:val="15"/>
          <w:vertAlign w:val="superscript"/>
        </w:rPr>
        <w:t>P406</w:t>
      </w:r>
      <w:r>
        <w:t>。Perpetual KYC的区别性内容是根据持续更新的数据和触发器维护客户资料并安排必要审查，而不是首次建立风险类别。因此D属于一般或传统KYC步骤，不是本题所问Perpetual KYC的组成特征。</w:t>
      </w:r>
    </w:p>
    <w:p>
      <w:pPr>
        <w:spacing w:line="360" w:lineRule="auto" w:after="40"/>
      </w:pPr>
      <w:r>
        <w:rPr>
          <w:b/>
          <w:shd w:fill="D6E4F0" w:val="clear"/>
        </w:rPr>
        <w:t>易错提醒：</w:t>
      </w:r>
    </w:p>
    <w:p>
      <w:pPr>
        <w:spacing w:line="360" w:lineRule="auto" w:after="40"/>
      </w:pPr>
      <w:r>
        <w:t>风险分类本身是KYC的一般步骤</w:t>
      </w:r>
      <w:r>
        <w:rPr>
          <w:sz w:val="15"/>
          <w:vertAlign w:val="superscript"/>
        </w:rPr>
        <w:t>P406</w:t>
      </w:r>
      <w:r>
        <w:t>；Perpetual KYC的考点是持续、触发器驱动和数据驱动</w:t>
      </w:r>
      <w:r>
        <w:rPr>
          <w:sz w:val="15"/>
          <w:vertAlign w:val="superscript"/>
        </w:rPr>
        <w:t>P406-P407</w:t>
      </w:r>
      <w:r>
        <w:t>。另需注意，教材使用的是“near-real-time”，答题时不应把A理解为技术上绝对零延迟的实时处理。</w:t>
      </w:r>
    </w:p>
    <w:p>
      <w:pPr>
        <w:spacing w:line="360" w:lineRule="auto" w:after="120"/>
      </w:pPr>
      <w:r/>
    </w:p>
    <w:p>
      <w:pPr>
        <w:spacing w:line="360" w:lineRule="auto" w:after="40"/>
      </w:pPr>
      <w:r>
        <w:t>3. 以下哪些是最新KYC解决方案(包括但不限于数字开户、电子KYC、数字身份、面部识别、活体检测、生物识别和地理定位)的优势？（选择三项。）</w:t>
      </w:r>
    </w:p>
    <w:p>
      <w:pPr>
        <w:spacing w:line="360" w:lineRule="auto" w:after="20"/>
      </w:pPr>
      <w:r>
        <w:t>A.确保在所有司法管辖区的监管合规方面达到100%的准确率</w:t>
      </w:r>
    </w:p>
    <w:p>
      <w:pPr>
        <w:spacing w:line="360" w:lineRule="auto" w:after="20"/>
      </w:pPr>
      <w:r>
        <w:t>B.通过提供个性化推荐来提高客户满意度</w:t>
      </w:r>
    </w:p>
    <w:p>
      <w:pPr>
        <w:spacing w:line="360" w:lineRule="auto" w:after="20"/>
      </w:pPr>
      <w:r>
        <w:t>C.有效减少身份盗用</w:t>
      </w:r>
    </w:p>
    <w:p>
      <w:pPr>
        <w:spacing w:line="360" w:lineRule="auto" w:after="20"/>
      </w:pPr>
      <w:r>
        <w:t>D.提供可靠的客户身份验证以增强信任</w:t>
      </w:r>
    </w:p>
    <w:p>
      <w:pPr>
        <w:spacing w:line="360" w:lineRule="auto" w:after="20"/>
      </w:pPr>
      <w:r>
        <w:t>E.减少客户身份验证所需的时间</w:t>
      </w:r>
    </w:p>
    <w:p>
      <w:pPr>
        <w:spacing w:line="360" w:lineRule="auto" w:after="40"/>
      </w:pPr>
      <w:r>
        <w:t>答案:C、D、E</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综合判断最新KYC技术在安全、效率、速度三方面的核心优势</w:t>
      </w:r>
    </w:p>
    <w:p>
      <w:pPr>
        <w:spacing w:line="360" w:lineRule="auto" w:after="40"/>
      </w:pPr>
      <w:r>
        <w:rPr>
          <w:b/>
          <w:shd w:fill="D6E4F0" w:val="clear"/>
        </w:rPr>
        <w:t>核心解析：</w:t>
      </w:r>
    </w:p>
    <w:p>
      <w:pPr>
        <w:spacing w:line="360" w:lineRule="auto" w:after="40"/>
      </w:pPr>
      <w:r>
        <w:t>教材指出，最新KYC技术的核心目标在于</w:t>
      </w:r>
      <w:r>
        <w:rPr>
          <w:b/>
        </w:rPr>
        <w:t>预防金融犯罪</w:t>
      </w:r>
      <w:r>
        <w:t>，同时通过减少开户时间来提升整体客户体验</w:t>
      </w:r>
      <w:r>
        <w:rPr>
          <w:sz w:val="15"/>
          <w:vertAlign w:val="superscript"/>
        </w:rPr>
        <w:t>P404</w:t>
      </w:r>
      <w:r>
        <w:t>。题干所列的数字开户、生物识别等方案，正是围绕这一目标，在三个维度上体现出优势：其一，安全层面，</w:t>
      </w:r>
      <w:r>
        <w:rPr>
          <w:b/>
        </w:rPr>
        <w:t>生物特征数据的独特性</w:t>
      </w:r>
      <w:r>
        <w:t>使其极难复制，显著降低身份盗窃和欺诈风险</w:t>
      </w:r>
      <w:r>
        <w:rPr>
          <w:sz w:val="15"/>
          <w:vertAlign w:val="superscript"/>
        </w:rPr>
        <w:t>P411</w:t>
      </w:r>
      <w:r>
        <w:t>，这直接支持C项；其二，可靠层面，人脸和语音识别等技术</w:t>
      </w:r>
      <w:r>
        <w:rPr>
          <w:b/>
        </w:rPr>
        <w:t>帮助机构遵守严格的监管要求</w:t>
      </w:r>
      <w:r>
        <w:rPr>
          <w:sz w:val="15"/>
          <w:vertAlign w:val="superscript"/>
        </w:rPr>
        <w:t>P414</w:t>
      </w:r>
      <w:r>
        <w:t>，这直接支持D项；其三，效率层面，电子KYC</w:t>
      </w:r>
      <w:r>
        <w:rPr>
          <w:b/>
        </w:rPr>
        <w:t>能在数小时甚至数分钟内完成流程</w:t>
      </w:r>
      <w:r>
        <w:t>，而传统手工流程需要数周</w:t>
      </w:r>
      <w:r>
        <w:rPr>
          <w:sz w:val="15"/>
          <w:vertAlign w:val="superscript"/>
        </w:rPr>
        <w:t>P405</w:t>
      </w:r>
      <w:r>
        <w:t>，这直接支持E项。安全（C）、可靠（D）、高效（E），三者共同构成了题干所列技术方案的三大核心优势。</w:t>
      </w:r>
    </w:p>
    <w:p>
      <w:pPr>
        <w:spacing w:line="360" w:lineRule="auto" w:after="40"/>
      </w:pPr>
      <w:r>
        <w:rPr>
          <w:b/>
          <w:shd w:fill="D6E4F0" w:val="clear"/>
        </w:rPr>
        <w:t>教材原句：</w:t>
      </w:r>
    </w:p>
    <w:p>
      <w:pPr>
        <w:spacing w:line="360" w:lineRule="auto" w:after="40"/>
      </w:pPr>
      <w:r>
        <w:t>"Technology improves process efficiency in several ways, but the ultimate goal is to prevent financial crime while enhancing the overall customer experience by reducing the time required to open an account."</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选项A使用了绝对化的措辞“100%的准确率”和“所有司法管辖区”，教材并未声称任何技术方案能达到如此绝对和普适的程度。教材强调的是技术“帮助”合规</w:t>
      </w:r>
      <w:r>
        <w:rPr>
          <w:sz w:val="15"/>
          <w:vertAlign w:val="superscript"/>
        </w:rPr>
        <w:t>P409</w:t>
      </w:r>
      <w:r>
        <w:t>、“确保最终集成系统合规”</w:t>
      </w:r>
      <w:r>
        <w:rPr>
          <w:sz w:val="15"/>
          <w:vertAlign w:val="superscript"/>
        </w:rPr>
        <w:t>P426</w:t>
      </w:r>
      <w:r>
        <w:t>，但始终承认不同司法管辖区法规的复杂性和多变性</w:t>
      </w:r>
      <w:r>
        <w:rPr>
          <w:sz w:val="15"/>
          <w:vertAlign w:val="superscript"/>
        </w:rPr>
        <w:t>P409</w:t>
      </w:r>
      <w:r>
        <w:t>。相比C、D、E所体现的真实可验证的优势，A项的描述过度夸张，匹配度明显不如。</w:t>
      </w:r>
    </w:p>
    <w:p>
      <w:pPr>
        <w:spacing w:line="360" w:lineRule="auto" w:after="40"/>
      </w:pPr>
      <w:r>
        <w:rPr>
          <w:b/>
          <w:shd w:fill="D6E4F0" w:val="clear"/>
        </w:rPr>
        <w:t>B项错误：</w:t>
      </w:r>
    </w:p>
    <w:p>
      <w:pPr>
        <w:spacing w:line="360" w:lineRule="auto" w:after="40"/>
      </w:pPr>
      <w:r>
        <w:t>题干和教材均将所列技术方案的“客户体验”优势聚焦于验证流程本身，如远程开户的便利性</w:t>
      </w:r>
      <w:r>
        <w:rPr>
          <w:sz w:val="15"/>
          <w:vertAlign w:val="superscript"/>
        </w:rPr>
        <w:t>P414</w:t>
      </w:r>
      <w:r>
        <w:t>和减少开户等待时间</w:t>
      </w:r>
      <w:r>
        <w:rPr>
          <w:sz w:val="15"/>
          <w:vertAlign w:val="superscript"/>
        </w:rPr>
        <w:t>P405</w:t>
      </w:r>
      <w:r>
        <w:t>，而非为客户提供“个性化推荐”。该功能属于客户关系管理或产品营销的范畴，与题干中用于身份识别和风险管理的KYC解决方案缺乏直接关联。</w:t>
      </w:r>
    </w:p>
    <w:p>
      <w:pPr>
        <w:spacing w:line="360" w:lineRule="auto" w:after="40"/>
      </w:pPr>
      <w:r>
        <w:rPr>
          <w:b/>
          <w:shd w:fill="D6E4F0" w:val="clear"/>
        </w:rPr>
        <w:t>易错提醒：</w:t>
      </w:r>
    </w:p>
    <w:p>
      <w:pPr>
        <w:spacing w:line="360" w:lineRule="auto" w:after="40"/>
      </w:pPr>
      <w:r>
        <w:t>学生容易将“安全”与“100%准确”混为一谈。教材强调生物特征技术因“极难复制”而“显著降低”风险</w:t>
      </w:r>
      <w:r>
        <w:rPr>
          <w:sz w:val="15"/>
          <w:vertAlign w:val="superscript"/>
        </w:rPr>
        <w:t>P411</w:t>
      </w:r>
      <w:r>
        <w:t>，这是一种强有力的安全提升，但并非消灭一切风险的“保证”。同时，“提升客户体验”在KYC语境下专指简化验证流程、节省时间等操作层面的便利，不等同于商业营销中的“个性化推荐”。</w:t>
      </w:r>
    </w:p>
    <w:p>
      <w:pPr>
        <w:spacing w:line="360" w:lineRule="auto" w:after="120"/>
      </w:pPr>
      <w:r/>
    </w:p>
    <w:p>
      <w:pPr>
        <w:spacing w:line="360" w:lineRule="auto" w:after="40"/>
      </w:pPr>
      <w:r>
        <w:t>4. 反洗钱/打击资助恐怖主义（AML/CFT）新技术实施过程中面临的挑战包括：（选择四项。）</w:t>
      </w:r>
    </w:p>
    <w:p>
      <w:pPr>
        <w:spacing w:line="360" w:lineRule="auto" w:after="20"/>
      </w:pPr>
      <w:r>
        <w:t>A.数据隐私。</w:t>
      </w:r>
    </w:p>
    <w:p>
      <w:pPr>
        <w:spacing w:line="360" w:lineRule="auto" w:after="20"/>
      </w:pPr>
      <w:r>
        <w:t>B.增强型尽职调查（EDD）政策。</w:t>
      </w:r>
    </w:p>
    <w:p>
      <w:pPr>
        <w:spacing w:line="360" w:lineRule="auto" w:after="20"/>
      </w:pPr>
      <w:r>
        <w:t>C.旅行规则。</w:t>
      </w:r>
    </w:p>
    <w:p>
      <w:pPr>
        <w:spacing w:line="360" w:lineRule="auto" w:after="20"/>
      </w:pPr>
      <w:r>
        <w:t>D.数据质量。</w:t>
      </w:r>
    </w:p>
    <w:p>
      <w:pPr>
        <w:spacing w:line="360" w:lineRule="auto" w:after="20"/>
      </w:pPr>
      <w:r>
        <w:t>E.复杂性。</w:t>
      </w:r>
    </w:p>
    <w:p>
      <w:pPr>
        <w:spacing w:line="360" w:lineRule="auto" w:after="20"/>
      </w:pPr>
      <w:r>
        <w:t>F.监管要求。</w:t>
      </w:r>
    </w:p>
    <w:p>
      <w:pPr>
        <w:spacing w:line="360" w:lineRule="auto" w:after="40"/>
      </w:pPr>
      <w:r>
        <w:t>答案:A、D、E、F</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识别 AML/CFT 新技术实施中的</w:t>
      </w:r>
      <w:r>
        <w:rPr>
          <w:b/>
        </w:rPr>
        <w:t>数据、系统和监管挑战</w:t>
      </w:r>
      <w:r>
        <w:t>。</w:t>
      </w:r>
    </w:p>
    <w:p>
      <w:pPr>
        <w:spacing w:line="360" w:lineRule="auto" w:after="40"/>
      </w:pPr>
      <w:r>
        <w:rPr>
          <w:b/>
          <w:shd w:fill="D6E4F0" w:val="clear"/>
        </w:rPr>
        <w:t>核心解析：</w:t>
      </w:r>
    </w:p>
    <w:p>
      <w:pPr>
        <w:spacing w:line="360" w:lineRule="auto" w:after="40"/>
      </w:pPr>
      <w:r>
        <w:t>新技术实施常见挑战包括</w:t>
      </w:r>
      <w:r>
        <w:rPr>
          <w:b/>
        </w:rPr>
        <w:t>数据隐私、数据质量、系统复杂性和监管要求</w:t>
      </w:r>
      <w:r>
        <w:t>。教材明确将复杂性、长期可扩展性、实施成本和数据隐私列为技术缺点，并将实施复杂性、数据质量和组织准备度列为迁移关键因素</w:t>
      </w:r>
      <w:r>
        <w:rPr>
          <w:sz w:val="15"/>
          <w:vertAlign w:val="superscript"/>
        </w:rPr>
        <w:t>P384</w:t>
      </w:r>
      <w:r>
        <w:t>。此外，新技术还必须适应持续演变的金融犯罪监管要求</w:t>
      </w:r>
      <w:r>
        <w:rPr>
          <w:sz w:val="15"/>
          <w:vertAlign w:val="superscript"/>
        </w:rPr>
        <w:t>P384</w:t>
      </w:r>
      <w:r>
        <w:t>。A、D、E、F分别对应上述四类实施挑战。</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EDD是风险管理政策和业务流程，不是新技术实施本身的通用挑战类别。</w:t>
      </w:r>
    </w:p>
    <w:p>
      <w:pPr>
        <w:spacing w:line="360" w:lineRule="auto" w:after="40"/>
      </w:pPr>
      <w:r>
        <w:rPr>
          <w:b/>
          <w:shd w:fill="D6E4F0" w:val="clear"/>
        </w:rPr>
        <w:t>C项错误：</w:t>
      </w:r>
    </w:p>
    <w:p>
      <w:pPr>
        <w:spacing w:line="360" w:lineRule="auto" w:after="40"/>
      </w:pPr>
      <w:r>
        <w:t>旅行规则是一项具体监管要求，而非与数据隐私、数据质量、复杂性和监管要求并列的通用实施挑战类别。</w:t>
      </w:r>
    </w:p>
    <w:p>
      <w:pPr>
        <w:spacing w:line="360" w:lineRule="auto" w:after="40"/>
      </w:pPr>
      <w:r>
        <w:rPr>
          <w:b/>
          <w:shd w:fill="D6E4F0" w:val="clear"/>
        </w:rPr>
        <w:t>易错提醒：</w:t>
      </w:r>
    </w:p>
    <w:p>
      <w:pPr>
        <w:spacing w:line="360" w:lineRule="auto" w:after="40"/>
      </w:pPr>
      <w:r>
        <w:t>注意区分</w:t>
      </w:r>
      <w:r>
        <w:rPr>
          <w:b/>
        </w:rPr>
        <w:t>具体规则与挑战类别</w:t>
      </w:r>
      <w:r>
        <w:t>：“旅行规则”是技术需要支持的一项具体要求，“监管要求”才是概括新技术合规适配压力的通用类别</w:t>
      </w:r>
      <w:r>
        <w:rPr>
          <w:sz w:val="15"/>
          <w:vertAlign w:val="superscript"/>
        </w:rPr>
        <w:t>P384</w:t>
      </w:r>
      <w:r>
        <w:t>。</w:t>
      </w:r>
    </w:p>
    <w:p>
      <w:pPr>
        <w:spacing w:line="360" w:lineRule="auto" w:after="120"/>
      </w:pPr>
      <w:r/>
    </w:p>
    <w:p>
      <w:pPr>
        <w:spacing w:line="360" w:lineRule="auto" w:after="40"/>
      </w:pPr>
      <w:r>
        <w:t>5. 一家金融机构收到了有关在要求提供额外信息时客户在开户流程中遭遇阻碍的投诉.哪些潜在的解决方案有助于确保客户注册体验更顺畅、减少阻碍？（选择两项。）</w:t>
      </w:r>
    </w:p>
    <w:p>
      <w:pPr>
        <w:spacing w:line="360" w:lineRule="auto" w:after="20"/>
      </w:pPr>
      <w:r>
        <w:t>A.实施内部或外部工具以简化入职流程</w:t>
      </w:r>
    </w:p>
    <w:p>
      <w:pPr>
        <w:spacing w:line="360" w:lineRule="auto" w:after="20"/>
      </w:pPr>
      <w:r>
        <w:t>B.每三年才实施一次新流程,以确保一致性</w:t>
      </w:r>
    </w:p>
    <w:p>
      <w:pPr>
        <w:spacing w:line="360" w:lineRule="auto" w:after="20"/>
      </w:pPr>
      <w:r>
        <w:t>C.确保对所有员工进行新流程、新政策和新工具的持续培训</w:t>
      </w:r>
    </w:p>
    <w:p>
      <w:pPr>
        <w:spacing w:line="360" w:lineRule="auto" w:after="20"/>
      </w:pPr>
      <w:r>
        <w:t>D.确保只有团队负责人或经理拥有决策权</w:t>
      </w:r>
    </w:p>
    <w:p>
      <w:pPr>
        <w:spacing w:line="360" w:lineRule="auto" w:after="40"/>
      </w:pPr>
      <w:r>
        <w:t>答案:A、C</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识别</w:t>
      </w:r>
      <w:r>
        <w:rPr>
          <w:b/>
        </w:rPr>
        <w:t>技术与持续培训</w:t>
      </w:r>
      <w:r>
        <w:t>对优化客户旅程的作用</w:t>
      </w:r>
    </w:p>
    <w:p>
      <w:pPr>
        <w:spacing w:line="360" w:lineRule="auto" w:after="40"/>
      </w:pPr>
      <w:r>
        <w:rPr>
          <w:b/>
          <w:shd w:fill="D6E4F0" w:val="clear"/>
        </w:rPr>
        <w:t>核心解析：</w:t>
      </w:r>
    </w:p>
    <w:p>
      <w:pPr>
        <w:spacing w:line="360" w:lineRule="auto" w:after="40"/>
      </w:pPr>
      <w:r>
        <w:t>题干的核心矛盾是“开户流程中索要额外信息时造成摩擦阻碍”。客户旅程中的摩擦源于过度联系客户或延迟处理其交易</w:t>
      </w:r>
      <w:r>
        <w:rPr>
          <w:sz w:val="15"/>
          <w:vertAlign w:val="superscript"/>
        </w:rPr>
        <w:t>P382</w:t>
      </w:r>
      <w:r>
        <w:t>。解决方向应围绕</w:t>
      </w:r>
      <w:r>
        <w:rPr>
          <w:b/>
        </w:rPr>
        <w:t>减少人工干预、加快处理速度、提升员工应对能力</w:t>
      </w:r>
      <w:r>
        <w:t>。选项A主张采用技术工具简化入职流程——教材指出许多机构在开户程序中采用电子身份验证、生物识别和光学字符识别（OCR）等技术</w:t>
      </w:r>
      <w:r>
        <w:rPr>
          <w:sz w:val="15"/>
          <w:vertAlign w:val="superscript"/>
        </w:rPr>
        <w:t>P404</w:t>
      </w:r>
      <w:r>
        <w:t>，电子KYC（eKYC）可在数小时甚至数分钟内完成开户，而传统手动流程需要数周</w:t>
      </w:r>
      <w:r>
        <w:rPr>
          <w:sz w:val="15"/>
          <w:vertAlign w:val="superscript"/>
        </w:rPr>
        <w:t>P405</w:t>
      </w:r>
      <w:r>
        <w:t>，技术改善客户体验的同时减少开户所需时间</w:t>
      </w:r>
      <w:r>
        <w:rPr>
          <w:sz w:val="15"/>
          <w:vertAlign w:val="superscript"/>
        </w:rPr>
        <w:t>P404</w:t>
      </w:r>
      <w:r>
        <w:t>。由此可推断，引入工具简化流程直接回应了题干中的“阻碍”“要求额外信息”等摩擦来源。选项C强调对全体员工进行新流程、新政策和工具的持续培训——持续的员工培训被列为反洗钱项目的五大支柱之一，包括在反洗钱政策、程序和风险意识方面的定期培训</w:t>
      </w:r>
      <w:r>
        <w:rPr>
          <w:sz w:val="15"/>
          <w:vertAlign w:val="superscript"/>
        </w:rPr>
        <w:t>P244</w:t>
      </w:r>
      <w:r>
        <w:t>，且持续培训对于跟上技术更新、金融犯罪威胁演变至关重要</w:t>
      </w:r>
      <w:r>
        <w:rPr>
          <w:sz w:val="15"/>
          <w:vertAlign w:val="superscript"/>
        </w:rPr>
        <w:t>P391</w:t>
      </w:r>
      <w:r>
        <w:t>。培训确保员工熟练使用新系统和流程，避免因人为操作不熟练造成额外阻碍，这直接匹配题干“在要求提供额外信息时遭遇阻碍”的情景。A与C分别从系统工具和人员能力两个维度化解摩擦，二者在教材中均有直接支撑，且场景匹配度高。</w:t>
      </w:r>
    </w:p>
    <w:p>
      <w:pPr>
        <w:spacing w:line="360" w:lineRule="auto" w:after="40"/>
      </w:pPr>
      <w:r>
        <w:rPr>
          <w:b/>
          <w:shd w:fill="D6E4F0" w:val="clear"/>
        </w:rPr>
        <w:t>教材原句：</w:t>
      </w:r>
    </w:p>
    <w:p>
      <w:pPr>
        <w:spacing w:line="360" w:lineRule="auto" w:after="40"/>
      </w:pPr>
      <w:r>
        <w:t>"It provides faster and more streamlined customer onboarding by completing the processes within hours or even minutes compared with weeks for traditional manual processes."</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选项B主张每三年才实施一次新流程以保一致性。教材指出实施新流程可能需要数月甚至数年</w:t>
      </w:r>
      <w:r>
        <w:rPr>
          <w:sz w:val="15"/>
          <w:vertAlign w:val="superscript"/>
        </w:rPr>
        <w:t>P293</w:t>
      </w:r>
      <w:r>
        <w:t>，但同时也强调金融犯罪防控环境高度动态，政策应基于风险性质定期审查，通常每年更新</w:t>
      </w:r>
      <w:r>
        <w:rPr>
          <w:sz w:val="15"/>
          <w:vertAlign w:val="superscript"/>
        </w:rPr>
        <w:t>P293</w:t>
      </w:r>
      <w:r>
        <w:t>，且未能持续更新可能导致新风险在下次定期审查前未被处理</w:t>
      </w:r>
      <w:r>
        <w:rPr>
          <w:sz w:val="15"/>
          <w:vertAlign w:val="superscript"/>
        </w:rPr>
        <w:t>P293</w:t>
      </w:r>
      <w:r>
        <w:t>。将“每三年才实施一次”作为固定政策，与教材对及时回应风险变化的要求在方向上不一致，不如A和C那样直接服务于“减少阻碍”这一目标。</w:t>
      </w:r>
    </w:p>
    <w:p>
      <w:pPr>
        <w:spacing w:line="360" w:lineRule="auto" w:after="40"/>
      </w:pPr>
      <w:r>
        <w:rPr>
          <w:b/>
          <w:shd w:fill="D6E4F0" w:val="clear"/>
        </w:rPr>
        <w:t>D项错误：</w:t>
      </w:r>
    </w:p>
    <w:p>
      <w:pPr>
        <w:spacing w:line="360" w:lineRule="auto" w:after="40"/>
      </w:pPr>
      <w:r>
        <w:t>选项D主张仅由团队负责人或经理掌握决策权。教材阐述了集中指定合规负责人等角色处理监管互动</w:t>
      </w:r>
      <w:r>
        <w:rPr>
          <w:sz w:val="15"/>
          <w:vertAlign w:val="superscript"/>
        </w:rPr>
        <w:t>P299</w:t>
      </w:r>
      <w:r>
        <w:t>，以及EWRA由AFC风险评估团队主导</w:t>
      </w:r>
      <w:r>
        <w:rPr>
          <w:sz w:val="15"/>
          <w:vertAlign w:val="superscript"/>
        </w:rPr>
        <w:t>P274</w:t>
      </w:r>
      <w:r>
        <w:t>，但这指向的是监管沟通和风险评估的协调效率，而非开户流程中的即时决策。在开户遇到阻碍时，集中决策反而可能造成瓶颈、延长客户等待时间，与题干“减少阻碍”“更顺畅的注册体验”的方向不够吻合，相比下A和C更直接解决摩擦来源。</w:t>
      </w:r>
    </w:p>
    <w:p>
      <w:pPr>
        <w:spacing w:line="360" w:lineRule="auto" w:after="40"/>
      </w:pPr>
      <w:r>
        <w:rPr>
          <w:b/>
          <w:shd w:fill="D6E4F0" w:val="clear"/>
        </w:rPr>
        <w:t>易错提醒：</w:t>
      </w:r>
    </w:p>
    <w:p>
      <w:pPr>
        <w:spacing w:line="360" w:lineRule="auto" w:after="40"/>
      </w:pPr>
      <w:r>
        <w:t>选项B中的“每三年”容易与教材中</w:t>
      </w:r>
      <w:r>
        <w:rPr>
          <w:b/>
        </w:rPr>
        <w:t>“中风险客户通常每两到三年审查一次”</w:t>
      </w:r>
      <w:r>
        <w:rPr>
          <w:sz w:val="15"/>
          <w:vertAlign w:val="superscript"/>
        </w:rPr>
        <w:t>P315</w:t>
      </w:r>
      <w:r>
        <w:t>相混淆，但后者说的是定期KYC审查的频率，针对的是存量客户的持续尽调，与</w:t>
      </w:r>
      <w:r>
        <w:rPr>
          <w:b/>
        </w:rPr>
        <w:t>“实施新流程”</w:t>
      </w:r>
      <w:r>
        <w:t>是不同概念——教材要求金融犯罪防控政策应至少每年审查更新</w:t>
      </w:r>
      <w:r>
        <w:rPr>
          <w:sz w:val="15"/>
          <w:vertAlign w:val="superscript"/>
        </w:rPr>
        <w:t>P293</w:t>
      </w:r>
      <w:r>
        <w:t>，两者适用的对象和频率要求不同。</w:t>
      </w:r>
    </w:p>
    <w:sectPr w:rsidR="00797F96" w:rsidSect="007705BD">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30425" w14:textId="77777777" w:rsidR="00D502DB" w:rsidRDefault="00D502DB" w:rsidP="004B1ED1">
      <w:r>
        <w:separator/>
      </w:r>
    </w:p>
  </w:endnote>
  <w:endnote w:type="continuationSeparator" w:id="0">
    <w:p w14:paraId="6CC9F455" w14:textId="77777777" w:rsidR="00D502DB" w:rsidRDefault="00D502DB" w:rsidP="004B1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92F4B" w14:textId="77777777" w:rsidR="00D502DB" w:rsidRDefault="00D502DB" w:rsidP="004B1ED1">
      <w:r>
        <w:separator/>
      </w:r>
    </w:p>
  </w:footnote>
  <w:footnote w:type="continuationSeparator" w:id="0">
    <w:p w14:paraId="68C42F1C" w14:textId="77777777" w:rsidR="00D502DB" w:rsidRDefault="00D502DB" w:rsidP="004B1ED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4CB"/>
    <w:rsid w:val="00010147"/>
    <w:rsid w:val="00033C1A"/>
    <w:rsid w:val="00040102"/>
    <w:rsid w:val="000D33A7"/>
    <w:rsid w:val="000F230C"/>
    <w:rsid w:val="000F78D0"/>
    <w:rsid w:val="00131228"/>
    <w:rsid w:val="001462D8"/>
    <w:rsid w:val="0015668A"/>
    <w:rsid w:val="00177DC7"/>
    <w:rsid w:val="001A7D92"/>
    <w:rsid w:val="002077A3"/>
    <w:rsid w:val="00220F69"/>
    <w:rsid w:val="002B050E"/>
    <w:rsid w:val="0033201A"/>
    <w:rsid w:val="0033318A"/>
    <w:rsid w:val="003607DA"/>
    <w:rsid w:val="00367F68"/>
    <w:rsid w:val="00435F1E"/>
    <w:rsid w:val="00474E2F"/>
    <w:rsid w:val="00483F5C"/>
    <w:rsid w:val="004962E1"/>
    <w:rsid w:val="004A749E"/>
    <w:rsid w:val="004B1ED1"/>
    <w:rsid w:val="00526572"/>
    <w:rsid w:val="00573E0A"/>
    <w:rsid w:val="005A2A6F"/>
    <w:rsid w:val="005A7BEF"/>
    <w:rsid w:val="005D7D77"/>
    <w:rsid w:val="00607874"/>
    <w:rsid w:val="00646B58"/>
    <w:rsid w:val="0072289C"/>
    <w:rsid w:val="00745570"/>
    <w:rsid w:val="00753BC4"/>
    <w:rsid w:val="007705BD"/>
    <w:rsid w:val="00797F96"/>
    <w:rsid w:val="007D7360"/>
    <w:rsid w:val="007E7BE2"/>
    <w:rsid w:val="007F09BD"/>
    <w:rsid w:val="00837539"/>
    <w:rsid w:val="008644CB"/>
    <w:rsid w:val="008C76EC"/>
    <w:rsid w:val="008D6C8E"/>
    <w:rsid w:val="009E4018"/>
    <w:rsid w:val="00A13FA3"/>
    <w:rsid w:val="00A167EC"/>
    <w:rsid w:val="00A215D8"/>
    <w:rsid w:val="00B12FCC"/>
    <w:rsid w:val="00BF7B5A"/>
    <w:rsid w:val="00C67B09"/>
    <w:rsid w:val="00CA03E7"/>
    <w:rsid w:val="00CA0B43"/>
    <w:rsid w:val="00CC049E"/>
    <w:rsid w:val="00D502DB"/>
    <w:rsid w:val="00D935DD"/>
    <w:rsid w:val="00DA5DA4"/>
    <w:rsid w:val="00E13904"/>
    <w:rsid w:val="00E176BA"/>
    <w:rsid w:val="00E26F44"/>
    <w:rsid w:val="00E429AB"/>
    <w:rsid w:val="00E63479"/>
    <w:rsid w:val="00EC4A51"/>
    <w:rsid w:val="00EE0B23"/>
    <w:rsid w:val="00F52D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D38201"/>
  <w14:defaultImageDpi w14:val="33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8644CB"/>
  </w:style>
  <w:style w:type="character" w:styleId="a4">
    <w:name w:val="annotation reference"/>
    <w:basedOn w:val="a0"/>
    <w:uiPriority w:val="99"/>
    <w:semiHidden/>
    <w:unhideWhenUsed/>
    <w:rsid w:val="00CA0B43"/>
    <w:rPr>
      <w:sz w:val="21"/>
      <w:szCs w:val="21"/>
    </w:rPr>
  </w:style>
  <w:style w:type="paragraph" w:styleId="a5">
    <w:name w:val="annotation text"/>
    <w:basedOn w:val="a"/>
    <w:link w:val="a6"/>
    <w:uiPriority w:val="99"/>
    <w:semiHidden/>
    <w:unhideWhenUsed/>
    <w:rsid w:val="00CA0B43"/>
    <w:pPr>
      <w:jc w:val="left"/>
    </w:pPr>
  </w:style>
  <w:style w:type="character" w:customStyle="1" w:styleId="a6">
    <w:name w:val="批注文字 字符"/>
    <w:basedOn w:val="a0"/>
    <w:link w:val="a5"/>
    <w:uiPriority w:val="99"/>
    <w:semiHidden/>
    <w:rsid w:val="00CA0B43"/>
  </w:style>
  <w:style w:type="paragraph" w:styleId="a7">
    <w:name w:val="annotation subject"/>
    <w:basedOn w:val="a5"/>
    <w:next w:val="a5"/>
    <w:link w:val="a8"/>
    <w:uiPriority w:val="99"/>
    <w:semiHidden/>
    <w:unhideWhenUsed/>
    <w:rsid w:val="00CA0B43"/>
    <w:rPr>
      <w:b/>
      <w:bCs/>
    </w:rPr>
  </w:style>
  <w:style w:type="character" w:customStyle="1" w:styleId="a8">
    <w:name w:val="批注主题 字符"/>
    <w:basedOn w:val="a6"/>
    <w:link w:val="a7"/>
    <w:uiPriority w:val="99"/>
    <w:semiHidden/>
    <w:rsid w:val="00CA0B43"/>
    <w:rPr>
      <w:b/>
      <w:bCs/>
    </w:rPr>
  </w:style>
  <w:style w:type="paragraph" w:styleId="a9">
    <w:name w:val="Balloon Text"/>
    <w:basedOn w:val="a"/>
    <w:link w:val="aa"/>
    <w:uiPriority w:val="99"/>
    <w:semiHidden/>
    <w:unhideWhenUsed/>
    <w:rsid w:val="00CA0B43"/>
    <w:rPr>
      <w:rFonts w:ascii="宋体" w:eastAsia="宋体"/>
      <w:sz w:val="18"/>
      <w:szCs w:val="18"/>
    </w:rPr>
  </w:style>
  <w:style w:type="character" w:customStyle="1" w:styleId="aa">
    <w:name w:val="批注框文本 字符"/>
    <w:basedOn w:val="a0"/>
    <w:link w:val="a9"/>
    <w:uiPriority w:val="99"/>
    <w:semiHidden/>
    <w:rsid w:val="00CA0B43"/>
    <w:rPr>
      <w:rFonts w:ascii="宋体" w:eastAsia="宋体"/>
      <w:sz w:val="18"/>
      <w:szCs w:val="18"/>
    </w:rPr>
  </w:style>
  <w:style w:type="paragraph" w:styleId="ab">
    <w:name w:val="Document Map"/>
    <w:basedOn w:val="a"/>
    <w:link w:val="ac"/>
    <w:uiPriority w:val="99"/>
    <w:semiHidden/>
    <w:unhideWhenUsed/>
    <w:rsid w:val="00797F96"/>
    <w:rPr>
      <w:rFonts w:ascii="宋体" w:eastAsia="宋体"/>
    </w:rPr>
  </w:style>
  <w:style w:type="character" w:customStyle="1" w:styleId="ac">
    <w:name w:val="文档结构图 字符"/>
    <w:basedOn w:val="a0"/>
    <w:link w:val="ab"/>
    <w:uiPriority w:val="99"/>
    <w:semiHidden/>
    <w:rsid w:val="00797F96"/>
    <w:rPr>
      <w:rFonts w:ascii="宋体" w:eastAsia="宋体"/>
    </w:rPr>
  </w:style>
  <w:style w:type="table" w:styleId="ad">
    <w:name w:val="Table Grid"/>
    <w:basedOn w:val="a1"/>
    <w:uiPriority w:val="39"/>
    <w:rsid w:val="00797F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4B1ED1"/>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0"/>
    <w:link w:val="ae"/>
    <w:uiPriority w:val="99"/>
    <w:rsid w:val="004B1ED1"/>
    <w:rPr>
      <w:sz w:val="18"/>
      <w:szCs w:val="18"/>
    </w:rPr>
  </w:style>
  <w:style w:type="paragraph" w:styleId="af0">
    <w:name w:val="footer"/>
    <w:basedOn w:val="a"/>
    <w:link w:val="af1"/>
    <w:uiPriority w:val="99"/>
    <w:unhideWhenUsed/>
    <w:rsid w:val="004B1ED1"/>
    <w:pPr>
      <w:tabs>
        <w:tab w:val="center" w:pos="4153"/>
        <w:tab w:val="right" w:pos="8306"/>
      </w:tabs>
      <w:snapToGrid w:val="0"/>
      <w:jc w:val="left"/>
    </w:pPr>
    <w:rPr>
      <w:sz w:val="18"/>
      <w:szCs w:val="18"/>
    </w:rPr>
  </w:style>
  <w:style w:type="character" w:customStyle="1" w:styleId="af1">
    <w:name w:val="页脚 字符"/>
    <w:basedOn w:val="a0"/>
    <w:link w:val="af0"/>
    <w:uiPriority w:val="99"/>
    <w:rsid w:val="004B1ED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办公室">
      <a:majorFont>
        <a:latin typeface="DengXian Light" panose="020F0302020204030204"/>
        <a:ea typeface=""/>
        <a:cs typeface=""/>
        <a:font script="Jpan" typeface="ＭＳ ゴシック"/>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320</Words>
  <Characters>1827</Characters>
  <Application>Microsoft Office Word</Application>
  <DocSecurity>0</DocSecurity>
  <Lines>15</Lines>
  <Paragraphs>4</Paragraphs>
  <ScaleCrop>false</ScaleCrop>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love980</dc:creator>
  <cp:keywords/>
  <dc:description/>
  <cp:lastModifiedBy>8613849083012</cp:lastModifiedBy>
  <cp:revision>54</cp:revision>
  <dcterms:created xsi:type="dcterms:W3CDTF">2017-05-14T09:31:00Z</dcterms:created>
  <dcterms:modified xsi:type="dcterms:W3CDTF">2021-12-30T09:44:00Z</dcterms:modified>
</cp:coreProperties>
</file>