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360" w:lineRule="auto" w:after="240"/>
      </w:pPr>
      <w:r>
        <w:t>试卷名称:CAMS CH15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一家银行注意到由于缺乏标准化的支付消息格式,区块链交易的标记存在不一致的情况.在交易筛查工具中,应优先考虑哪项功能来解决此问题？</w:t>
      </w:r>
    </w:p>
    <w:p>
      <w:pPr>
        <w:spacing w:line="360" w:lineRule="auto" w:after="20"/>
      </w:pPr>
      <w:r>
        <w:t>A.对传统支付信息加强制裁筛查</w:t>
      </w:r>
    </w:p>
    <w:p>
      <w:pPr>
        <w:spacing w:line="360" w:lineRule="auto" w:after="20"/>
      </w:pPr>
      <w:r>
        <w:t>B.定期人工审查与区块链相关的交易</w:t>
      </w:r>
    </w:p>
    <w:p>
      <w:pPr>
        <w:spacing w:line="360" w:lineRule="auto" w:after="20"/>
      </w:pPr>
      <w:r>
        <w:t>C.与区块链分析提供商的集成</w:t>
      </w:r>
    </w:p>
    <w:p>
      <w:pPr>
        <w:spacing w:line="360" w:lineRule="auto" w:after="20"/>
      </w:pPr>
      <w:r>
        <w:t>D.基于规则的系统仅关注已知的钱包地址</w:t>
      </w:r>
    </w:p>
    <w:p>
      <w:pPr>
        <w:spacing w:line="360" w:lineRule="auto" w:after="40"/>
      </w:pPr>
      <w:r>
        <w:t>答案:C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line="360" w:lineRule="auto" w:after="40"/>
      </w:pPr>
      <w:r>
        <w:rPr>
          <w:b/>
          <w:shd w:fill="D6E4F0" w:val="clear"/>
        </w:rPr>
        <w:t>考点：</w:t>
      </w:r>
    </w:p>
    <w:p>
      <w:pPr>
        <w:spacing w:line="360" w:lineRule="auto" w:after="40"/>
      </w:pPr>
      <w:r>
        <w:rPr>
          <w:b/>
        </w:rPr>
        <w:t>识别区块链交易筛查所需的专业数据与分析能力</w:t>
      </w:r>
    </w:p>
    <w:p>
      <w:pPr>
        <w:spacing w:line="360" w:lineRule="auto" w:after="40"/>
      </w:pPr>
      <w:r>
        <w:rPr>
          <w:b/>
          <w:shd w:fill="D6E4F0" w:val="clear"/>
        </w:rPr>
        <w:t>核心解析：</w:t>
      </w:r>
    </w:p>
    <w:p>
      <w:pPr>
        <w:spacing w:line="360" w:lineRule="auto" w:after="40"/>
      </w:pPr>
      <w:r>
        <w:t>数字资产筛查需要分析钱包地址和交易历史等</w:t>
      </w:r>
      <w:r>
        <w:rPr>
          <w:b/>
        </w:rPr>
        <w:t>链上数据</w:t>
      </w:r>
      <w:r>
        <w:t>，并结合风险情报数据库等</w:t>
      </w:r>
      <w:r>
        <w:rPr>
          <w:b/>
        </w:rPr>
        <w:t>链下数据</w:t>
      </w:r>
      <w:r>
        <w:t>，以发现欺诈、洗钱和制裁规避</w:t>
      </w:r>
      <w:r>
        <w:rPr>
          <w:sz w:val="15"/>
          <w:vertAlign w:val="superscript"/>
        </w:rPr>
        <w:t>P434</w:t>
      </w:r>
      <w:r>
        <w:t>。数字资产交易的假名性会增加所有权和身份核验难度，因此需要高级分析和区块链取证</w:t>
      </w:r>
      <w:r>
        <w:rPr>
          <w:sz w:val="15"/>
          <w:vertAlign w:val="superscript"/>
        </w:rPr>
        <w:t>P435</w:t>
      </w:r>
      <w:r>
        <w:t>。区块链分析工具还能通过聚类显示哪些地址属于同一钱包或实体，从而加快分析</w:t>
      </w:r>
      <w:r>
        <w:rPr>
          <w:sz w:val="15"/>
          <w:vertAlign w:val="superscript"/>
        </w:rPr>
        <w:t>P487</w:t>
      </w:r>
      <w:r>
        <w:t>。题干的障碍是区块链交易缺少标准化支付消息，导致标记不一致；在四项中，只有C能把上述链上数据、链下情报和</w:t>
      </w:r>
      <w:r>
        <w:rPr>
          <w:b/>
        </w:rPr>
        <w:t>地址关联能力</w:t>
      </w:r>
      <w:r>
        <w:t>接入筛查工具，以弥补传统支付字段不足。由此可推断，应优先集成区块链分析提供商。</w:t>
      </w:r>
    </w:p>
    <w:p>
      <w:pPr>
        <w:spacing w:line="360" w:lineRule="auto" w:after="40"/>
      </w:pPr>
      <w:r>
        <w:rPr>
          <w:b/>
          <w:shd w:fill="D6E4F0" w:val="clear"/>
        </w:rPr>
        <w:t>教材原句：</w:t>
      </w:r>
    </w:p>
    <w:p>
      <w:pPr>
        <w:spacing w:line="360" w:lineRule="auto" w:after="40"/>
      </w:pPr>
      <w:r>
        <w:t>"The screening process involves analyzing blockchain addresses and transaction histories—or on-chain data—and using risk intelligence databases—or off-chain data—to detect illicit activities such as fraud, money laundering, and sanctions evasion."</w:t>
      </w:r>
    </w:p>
    <w:p>
      <w:pPr>
        <w:spacing w:line="360" w:lineRule="auto" w:after="40"/>
      </w:pPr>
      <w:r>
        <w:rPr>
          <w:b/>
          <w:shd w:fill="D6E4F0" w:val="clear"/>
        </w:rPr>
        <w:t>错误项分析：</w:t>
      </w:r>
    </w:p>
    <w:p>
      <w:pPr>
        <w:spacing w:line="360" w:lineRule="auto" w:after="40"/>
      </w:pPr>
      <w:r>
        <w:rPr>
          <w:b/>
          <w:shd w:fill="D6E4F0" w:val="clear"/>
        </w:rPr>
        <w:t>A项错误：</w:t>
      </w:r>
    </w:p>
    <w:p>
      <w:pPr>
        <w:spacing w:line="360" w:lineRule="auto" w:after="40"/>
      </w:pPr>
      <w:r>
        <w:t>A加强的是传统支付消息筛查，而题干缺失的恰恰是区块链交易中的标准化支付消息。数字资产筛查需要链上地址、交易历史和链下风险情报</w:t>
      </w:r>
      <w:r>
        <w:rPr>
          <w:sz w:val="15"/>
          <w:vertAlign w:val="superscript"/>
        </w:rPr>
        <w:t>P434</w:t>
      </w:r>
      <w:r>
        <w:t>，因此A没有补上题干所缺的数据类型。</w:t>
      </w:r>
    </w:p>
    <w:p>
      <w:pPr>
        <w:spacing w:line="360" w:lineRule="auto" w:after="40"/>
      </w:pPr>
      <w:r>
        <w:rPr>
          <w:b/>
          <w:shd w:fill="D6E4F0" w:val="clear"/>
        </w:rPr>
        <w:t>B项错误：</w:t>
      </w:r>
    </w:p>
    <w:p>
      <w:pPr>
        <w:spacing w:line="360" w:lineRule="auto" w:after="40"/>
      </w:pPr>
      <w:r>
        <w:t>人工复核可以辅助判断，但题干问应优先配置的筛查工具功能。教材指出该类复杂性需要高级分析和区块链取证</w:t>
      </w:r>
      <w:r>
        <w:rPr>
          <w:sz w:val="15"/>
          <w:vertAlign w:val="superscript"/>
        </w:rPr>
        <w:t>P435</w:t>
      </w:r>
      <w:r>
        <w:t>；定期人工审查没有给工具增加地址关联或风险情报能力，匹配度低于C。</w:t>
      </w:r>
    </w:p>
    <w:p>
      <w:pPr>
        <w:spacing w:line="360" w:lineRule="auto" w:after="40"/>
      </w:pPr>
      <w:r>
        <w:rPr>
          <w:b/>
          <w:shd w:fill="D6E4F0" w:val="clear"/>
        </w:rPr>
        <w:t>D项错误：</w:t>
      </w:r>
    </w:p>
    <w:p>
      <w:pPr>
        <w:spacing w:line="360" w:lineRule="auto" w:after="40"/>
      </w:pPr>
      <w:r>
        <w:t>D把范围限定为已知钱包地址，而区块链分析工具可将多个地址聚类到同一钱包并显示实体关联</w:t>
      </w:r>
      <w:r>
        <w:rPr>
          <w:sz w:val="15"/>
          <w:vertAlign w:val="superscript"/>
        </w:rPr>
        <w:t>P487</w:t>
      </w:r>
      <w:r>
        <w:t>。只查已知地址无法覆盖这种扩展分析能力，也不能充分弥补标准支付字段缺失。</w:t>
      </w:r>
    </w:p>
    <w:p>
      <w:pPr>
        <w:spacing w:line="360" w:lineRule="auto" w:after="40"/>
      </w:pPr>
      <w:r>
        <w:rPr>
          <w:b/>
          <w:shd w:fill="D6E4F0" w:val="clear"/>
        </w:rPr>
        <w:t>易错提醒：</w:t>
      </w:r>
    </w:p>
    <w:p>
      <w:pPr>
        <w:spacing w:line="360" w:lineRule="auto" w:after="40"/>
      </w:pPr>
      <w:r>
        <w:t>不要把“缺少标准化支付消息”直接等同于“多个地址一定属于同一钱包”。本题的判断路径是：传统字段不足，需要专门的链上数据、链下风险情报和地址关联能力</w:t>
      </w:r>
      <w:r>
        <w:rPr>
          <w:sz w:val="15"/>
          <w:vertAlign w:val="superscript"/>
        </w:rPr>
        <w:t>P434-P435</w:t>
      </w:r>
      <w:r>
        <w:t>；聚类是区块链分析工具提供的一项能力</w:t>
      </w:r>
      <w:r>
        <w:rPr>
          <w:sz w:val="15"/>
          <w:vertAlign w:val="superscript"/>
        </w:rPr>
        <w:t>P487</w:t>
      </w:r>
      <w:r>
        <w:t>，但不是题干所述不一致的唯一可能原因。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2. 当一家金融机构(FI)考虑向虚拟资产服务提供商(VASP)提供传统银行服务时,应考虑该金融机构是否:（选择两项。）</w:t>
      </w:r>
    </w:p>
    <w:p>
      <w:pPr>
        <w:spacing w:line="360" w:lineRule="auto" w:after="20"/>
      </w:pPr>
      <w:r>
        <w:t>A.对虚拟资产有大致的了解.</w:t>
      </w:r>
    </w:p>
    <w:p>
      <w:pPr>
        <w:spacing w:line="360" w:lineRule="auto" w:after="20"/>
      </w:pPr>
      <w:r>
        <w:t>B.持续审查法定货币与虚拟货币之间的交易.</w:t>
      </w:r>
    </w:p>
    <w:p>
      <w:pPr>
        <w:spacing w:line="360" w:lineRule="auto" w:after="20"/>
      </w:pPr>
      <w:r>
        <w:t>C.实施强化的了解你的客户(KYC)措施.</w:t>
      </w:r>
    </w:p>
    <w:p>
      <w:pPr>
        <w:spacing w:line="360" w:lineRule="auto" w:after="20"/>
      </w:pPr>
      <w:r>
        <w:t>D.自身持有虚拟货币.</w:t>
      </w:r>
    </w:p>
    <w:p>
      <w:pPr>
        <w:spacing w:line="360" w:lineRule="auto" w:after="40"/>
      </w:pPr>
      <w:r>
        <w:t>答案:A、C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line="360" w:lineRule="auto" w:after="40"/>
      </w:pPr>
      <w:r>
        <w:rPr>
          <w:b/>
          <w:shd w:fill="D6E4F0" w:val="clear"/>
        </w:rPr>
        <w:t>考点：</w:t>
      </w:r>
    </w:p>
    <w:p>
      <w:pPr>
        <w:spacing w:line="360" w:lineRule="auto" w:after="40"/>
      </w:pPr>
      <w:r>
        <w:rPr>
          <w:b/>
        </w:rPr>
        <w:t>为VASP提供银行服务时，如何通过交易监控与强化尽职调查管控加密资产洗钱风险</w:t>
      </w:r>
    </w:p>
    <w:p>
      <w:pPr>
        <w:spacing w:line="360" w:lineRule="auto" w:after="40"/>
      </w:pPr>
      <w:r>
        <w:rPr>
          <w:b/>
          <w:shd w:fill="D6E4F0" w:val="clear"/>
        </w:rPr>
        <w:t>核心解析：</w:t>
      </w:r>
    </w:p>
    <w:p>
      <w:pPr>
        <w:spacing w:line="360" w:lineRule="auto" w:after="40"/>
      </w:pPr>
      <w:r>
        <w:t>金融机构考虑向VASP提供传统银行服务前，需要理解虚拟资产业务及其风险。教材指出，提供数字资产相关服务的金融机构会聘用具备区块链、交易监控和数字资产风险缓释知识的专家，以实施与传统金融相当的严谨筛查</w:t>
      </w:r>
      <w:r>
        <w:rPr>
          <w:sz w:val="15"/>
          <w:vertAlign w:val="superscript"/>
        </w:rPr>
        <w:t>P434</w:t>
      </w:r>
      <w:r>
        <w:t>；这支持A“至少具备对虚拟资产的</w:t>
      </w:r>
      <w:r>
        <w:rPr>
          <w:b/>
        </w:rPr>
        <w:t>一般理解</w:t>
      </w:r>
      <w:r>
        <w:t>”的</w:t>
      </w:r>
      <w:r>
        <w:rPr>
          <w:b/>
        </w:rPr>
        <w:t>准入能力要求</w:t>
      </w:r>
      <w:r>
        <w:t>。教材还把监管框架外VASP列为</w:t>
      </w:r>
      <w:r>
        <w:rPr>
          <w:b/>
        </w:rPr>
        <w:t>高风险第三方</w:t>
      </w:r>
      <w:r>
        <w:rPr>
          <w:sz w:val="15"/>
          <w:vertAlign w:val="superscript"/>
        </w:rPr>
        <w:t>P148</w:t>
      </w:r>
      <w:r>
        <w:t>，而FATF/行业指引要求对高风险关系实施</w:t>
      </w:r>
      <w:r>
        <w:rPr>
          <w:b/>
        </w:rPr>
        <w:t>强化尽调</w:t>
      </w:r>
      <w:r>
        <w:rPr>
          <w:sz w:val="15"/>
          <w:vertAlign w:val="superscript"/>
        </w:rPr>
        <w:t>P169</w:t>
      </w:r>
      <w:r>
        <w:t>，因此C成立，但应理解为根据VASP及其辖区风险采取</w:t>
      </w:r>
      <w:r>
        <w:rPr>
          <w:b/>
        </w:rPr>
        <w:t>强化KYC</w:t>
      </w:r>
      <w:r>
        <w:t>，而不是无条件把所有VASP定为同等高风险。B所引“法币与加密资产兑换点需要CDD和监控”确实说明监控有风险管理价值</w:t>
      </w:r>
      <w:r>
        <w:rPr>
          <w:sz w:val="15"/>
          <w:vertAlign w:val="superscript"/>
        </w:rPr>
        <w:t>P111</w:t>
      </w:r>
      <w:r>
        <w:t>，但其主体是兑换点/VASP生态，且</w:t>
      </w:r>
      <w:r>
        <w:rPr>
          <w:b/>
        </w:rPr>
        <w:t>持续交易监控</w:t>
      </w:r>
      <w:r>
        <w:t>属于建立关系后的控制，不是本题所问的</w:t>
      </w:r>
      <w:r>
        <w:rPr>
          <w:b/>
        </w:rPr>
        <w:t>准入条件</w:t>
      </w:r>
      <w:r>
        <w:t>；不能据此替代A。</w:t>
      </w:r>
    </w:p>
    <w:p>
      <w:pPr>
        <w:spacing w:line="360" w:lineRule="auto" w:after="40"/>
      </w:pPr>
      <w:r>
        <w:rPr>
          <w:b/>
          <w:shd w:fill="D6E4F0" w:val="clear"/>
        </w:rPr>
        <w:t>教材原句：</w:t>
      </w:r>
    </w:p>
    <w:p>
      <w:pPr>
        <w:spacing w:line="360" w:lineRule="auto" w:after="40"/>
      </w:pPr>
      <w:r>
        <w:t>"Without proper controls, the conversion point between cryptoassets and fiat is particularly vulnerable to money laundering, but CDD checks and monitoring can help identify suspicious activities."</w:t>
      </w:r>
      <w:r>
        <w:rPr>
          <w:sz w:val="15"/>
          <w:vertAlign w:val="superscript"/>
        </w:rPr>
        <w:t>P111</w:t>
      </w:r>
    </w:p>
    <w:p>
      <w:pPr>
        <w:spacing w:line="360" w:lineRule="auto" w:after="40"/>
      </w:pPr>
      <w:r>
        <w:rPr>
          <w:b/>
          <w:shd w:fill="D6E4F0" w:val="clear"/>
        </w:rPr>
        <w:t>错误项分析：</w:t>
      </w:r>
    </w:p>
    <w:p>
      <w:pPr>
        <w:spacing w:line="360" w:lineRule="auto" w:after="40"/>
      </w:pPr>
      <w:r>
        <w:rPr>
          <w:b/>
          <w:shd w:fill="D6E4F0" w:val="clear"/>
        </w:rPr>
        <w:t>D项错误：</w:t>
      </w:r>
    </w:p>
    <w:p>
      <w:pPr>
        <w:spacing w:line="360" w:lineRule="auto" w:after="40"/>
      </w:pPr>
      <w:r>
        <w:t>教材讨论的是机构是否具备理解和管控数字资产风险的能力，并不要求金融机构自身持有</w:t>
      </w:r>
      <w:r>
        <w:rPr>
          <w:b/>
        </w:rPr>
        <w:t>虚拟货币</w:t>
      </w:r>
      <w:r>
        <w:t>；</w:t>
      </w:r>
      <w:r>
        <w:rPr>
          <w:b/>
        </w:rPr>
        <w:t>持有资产不是向VASP提供银行服务的必要条件</w:t>
      </w:r>
      <w:r>
        <w:t>。</w:t>
      </w:r>
    </w:p>
    <w:p>
      <w:pPr>
        <w:spacing w:line="360" w:lineRule="auto" w:after="40"/>
      </w:pPr>
      <w:r>
        <w:rPr>
          <w:b/>
          <w:shd w:fill="D6E4F0" w:val="clear"/>
        </w:rPr>
        <w:t>易错提醒：</w:t>
      </w:r>
    </w:p>
    <w:p>
      <w:pPr>
        <w:spacing w:line="360" w:lineRule="auto" w:after="40"/>
      </w:pPr>
      <w:r>
        <w:rPr>
          <w:b/>
        </w:rPr>
        <w:t>“一般了解”</w:t>
      </w:r>
      <w:r>
        <w:t>是业务准入能力的最低层次，不能替代对</w:t>
      </w:r>
      <w:r>
        <w:rPr>
          <w:b/>
        </w:rPr>
        <w:t>高风险VASP</w:t>
      </w:r>
      <w:r>
        <w:t>实施</w:t>
      </w:r>
      <w:r>
        <w:rPr>
          <w:b/>
        </w:rPr>
        <w:t>强化KYC</w:t>
      </w:r>
      <w:r>
        <w:t>和</w:t>
      </w:r>
      <w:r>
        <w:rPr>
          <w:b/>
        </w:rPr>
        <w:t>持续监控</w:t>
      </w:r>
      <w:r>
        <w:t>等控制措施</w:t>
      </w:r>
      <w:r>
        <w:rPr>
          <w:sz w:val="15"/>
          <w:vertAlign w:val="superscript"/>
        </w:rPr>
        <w:t>P148、P169</w:t>
      </w:r>
      <w:r>
        <w:t>。</w:t>
      </w:r>
    </w:p>
    <w:sectPr w:rsidR="00797F96" w:rsidSect="007705B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30425" w14:textId="77777777" w:rsidR="00D502DB" w:rsidRDefault="00D502DB" w:rsidP="004B1ED1">
      <w:r>
        <w:separator/>
      </w:r>
    </w:p>
  </w:endnote>
  <w:endnote w:type="continuationSeparator" w:id="0">
    <w:p w14:paraId="6CC9F455" w14:textId="77777777" w:rsidR="00D502DB" w:rsidRDefault="00D502DB" w:rsidP="004B1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92F4B" w14:textId="77777777" w:rsidR="00D502DB" w:rsidRDefault="00D502DB" w:rsidP="004B1ED1">
      <w:r>
        <w:separator/>
      </w:r>
    </w:p>
  </w:footnote>
  <w:footnote w:type="continuationSeparator" w:id="0">
    <w:p w14:paraId="68C42F1C" w14:textId="77777777" w:rsidR="00D502DB" w:rsidRDefault="00D502DB" w:rsidP="004B1E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4CB"/>
    <w:rsid w:val="00010147"/>
    <w:rsid w:val="00033C1A"/>
    <w:rsid w:val="00040102"/>
    <w:rsid w:val="000D33A7"/>
    <w:rsid w:val="000F230C"/>
    <w:rsid w:val="000F78D0"/>
    <w:rsid w:val="00131228"/>
    <w:rsid w:val="001462D8"/>
    <w:rsid w:val="0015668A"/>
    <w:rsid w:val="00177DC7"/>
    <w:rsid w:val="001A7D92"/>
    <w:rsid w:val="002077A3"/>
    <w:rsid w:val="00220F69"/>
    <w:rsid w:val="002B050E"/>
    <w:rsid w:val="0033201A"/>
    <w:rsid w:val="0033318A"/>
    <w:rsid w:val="003607DA"/>
    <w:rsid w:val="00367F68"/>
    <w:rsid w:val="00435F1E"/>
    <w:rsid w:val="00474E2F"/>
    <w:rsid w:val="00483F5C"/>
    <w:rsid w:val="004962E1"/>
    <w:rsid w:val="004A749E"/>
    <w:rsid w:val="004B1ED1"/>
    <w:rsid w:val="00526572"/>
    <w:rsid w:val="00573E0A"/>
    <w:rsid w:val="005A2A6F"/>
    <w:rsid w:val="005A7BEF"/>
    <w:rsid w:val="005D7D77"/>
    <w:rsid w:val="00607874"/>
    <w:rsid w:val="00646B58"/>
    <w:rsid w:val="0072289C"/>
    <w:rsid w:val="00745570"/>
    <w:rsid w:val="00753BC4"/>
    <w:rsid w:val="007705BD"/>
    <w:rsid w:val="00797F96"/>
    <w:rsid w:val="007D7360"/>
    <w:rsid w:val="007E7BE2"/>
    <w:rsid w:val="007F09BD"/>
    <w:rsid w:val="00837539"/>
    <w:rsid w:val="008644CB"/>
    <w:rsid w:val="008C76EC"/>
    <w:rsid w:val="008D6C8E"/>
    <w:rsid w:val="009E4018"/>
    <w:rsid w:val="00A13FA3"/>
    <w:rsid w:val="00A167EC"/>
    <w:rsid w:val="00A215D8"/>
    <w:rsid w:val="00B12FCC"/>
    <w:rsid w:val="00BF7B5A"/>
    <w:rsid w:val="00C67B09"/>
    <w:rsid w:val="00CA03E7"/>
    <w:rsid w:val="00CA0B43"/>
    <w:rsid w:val="00CC049E"/>
    <w:rsid w:val="00D502DB"/>
    <w:rsid w:val="00D935DD"/>
    <w:rsid w:val="00DA5DA4"/>
    <w:rsid w:val="00E13904"/>
    <w:rsid w:val="00E176BA"/>
    <w:rsid w:val="00E26F44"/>
    <w:rsid w:val="00E429AB"/>
    <w:rsid w:val="00E63479"/>
    <w:rsid w:val="00EC4A51"/>
    <w:rsid w:val="00EE0B23"/>
    <w:rsid w:val="00F5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D38201"/>
  <w14:defaultImageDpi w14:val="33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8644CB"/>
  </w:style>
  <w:style w:type="character" w:styleId="a4">
    <w:name w:val="annotation reference"/>
    <w:basedOn w:val="a0"/>
    <w:uiPriority w:val="99"/>
    <w:semiHidden/>
    <w:unhideWhenUsed/>
    <w:rsid w:val="00CA0B43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CA0B43"/>
    <w:pPr>
      <w:jc w:val="left"/>
    </w:pPr>
  </w:style>
  <w:style w:type="character" w:customStyle="1" w:styleId="a6">
    <w:name w:val="批注文字 字符"/>
    <w:basedOn w:val="a0"/>
    <w:link w:val="a5"/>
    <w:uiPriority w:val="99"/>
    <w:semiHidden/>
    <w:rsid w:val="00CA0B43"/>
  </w:style>
  <w:style w:type="paragraph" w:styleId="a7">
    <w:name w:val="annotation subject"/>
    <w:basedOn w:val="a5"/>
    <w:next w:val="a5"/>
    <w:link w:val="a8"/>
    <w:uiPriority w:val="99"/>
    <w:semiHidden/>
    <w:unhideWhenUsed/>
    <w:rsid w:val="00CA0B43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CA0B4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CA0B43"/>
    <w:rPr>
      <w:rFonts w:ascii="宋体" w:eastAsia="宋体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A0B43"/>
    <w:rPr>
      <w:rFonts w:ascii="宋体" w:eastAsia="宋体"/>
      <w:sz w:val="18"/>
      <w:szCs w:val="18"/>
    </w:rPr>
  </w:style>
  <w:style w:type="paragraph" w:styleId="ab">
    <w:name w:val="Document Map"/>
    <w:basedOn w:val="a"/>
    <w:link w:val="ac"/>
    <w:uiPriority w:val="99"/>
    <w:semiHidden/>
    <w:unhideWhenUsed/>
    <w:rsid w:val="00797F96"/>
    <w:rPr>
      <w:rFonts w:ascii="宋体" w:eastAsia="宋体"/>
    </w:rPr>
  </w:style>
  <w:style w:type="character" w:customStyle="1" w:styleId="ac">
    <w:name w:val="文档结构图 字符"/>
    <w:basedOn w:val="a0"/>
    <w:link w:val="ab"/>
    <w:uiPriority w:val="99"/>
    <w:semiHidden/>
    <w:rsid w:val="00797F96"/>
    <w:rPr>
      <w:rFonts w:ascii="宋体" w:eastAsia="宋体"/>
    </w:rPr>
  </w:style>
  <w:style w:type="table" w:styleId="ad">
    <w:name w:val="Table Grid"/>
    <w:basedOn w:val="a1"/>
    <w:uiPriority w:val="39"/>
    <w:rsid w:val="00797F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4B1E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1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1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1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办公室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love980</dc:creator>
  <cp:keywords/>
  <dc:description/>
  <cp:lastModifiedBy>8613849083012</cp:lastModifiedBy>
  <cp:revision>54</cp:revision>
  <dcterms:created xsi:type="dcterms:W3CDTF">2017-05-14T09:31:00Z</dcterms:created>
  <dcterms:modified xsi:type="dcterms:W3CDTF">2021-12-30T09:44:00Z</dcterms:modified>
</cp:coreProperties>
</file>