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eeb0115199251a68771cf0fce4dbd019e4e8e2"/>
      <w:r>
        <w:t xml:space="preserve">中文版CAMS真题（V6考纲）-137-导出题目-2026-06-25-10-42-22</w:t>
      </w:r>
      <w:bookmarkEnd w:id="20"/>
    </w:p>
    <w:p>
      <w:pPr>
        <w:pStyle w:val="FirstParagraph"/>
      </w:pPr>
      <w:r>
        <w:t xml:space="preserve">1.银行KYC团队的经理发现，一名高风险客户的活动在上个季度未按照银行内部合规计划进行审核KYC团队经理应该怎么做?</w:t>
      </w:r>
    </w:p>
    <w:p>
      <w:pPr>
        <w:pStyle w:val="BodyText"/>
      </w:pPr>
      <w:r>
        <w:t xml:space="preserve">A.提交可疑活动报告（SAR）</w:t>
      </w:r>
    </w:p>
    <w:p>
      <w:pPr>
        <w:pStyle w:val="BodyText"/>
      </w:pPr>
      <w:r>
        <w:t xml:space="preserve">B.将该客户从银行的高风险名单中移除</w:t>
      </w:r>
    </w:p>
    <w:p>
      <w:pPr>
        <w:pStyle w:val="BodyText"/>
      </w:pPr>
      <w:r>
        <w:t xml:space="preserve">C.联系客户关系经理，暂停账户访问，直到完成定期KYC审查</w:t>
      </w:r>
    </w:p>
    <w:p>
      <w:pPr>
        <w:pStyle w:val="BodyText"/>
      </w:pPr>
      <w:r>
        <w:t xml:space="preserve">D.评估KYC审查流程，了解为何未按要求进行审查，并采取必要的纠正措施</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了解您的客户 (KYC)</w:t>
      </w:r>
    </w:p>
    <w:p>
      <w:pPr>
        <w:pStyle w:val="BodyText"/>
      </w:pPr>
      <w:r>
        <w:t xml:space="preserve">用以</w:t>
      </w:r>
      <w:r>
        <w:rPr>
          <w:b/>
        </w:rPr>
        <w:t xml:space="preserve">确定客户真实身份及其正常和预期活动类型并侦测特定客户的异常活动的反洗钱政策和流程</w:t>
      </w:r>
      <w:r>
        <w:t xml:space="preserve"> </w:t>
      </w:r>
      <w:r>
        <w:t xml:space="preserve">.</w:t>
      </w:r>
    </w:p>
    <w:p>
      <w:pPr>
        <w:pStyle w:val="BodyText"/>
      </w:pPr>
      <w:r>
        <w:rPr>
          <w:b/>
        </w:rPr>
        <w:t xml:space="preserve">选项分析:</w:t>
      </w:r>
    </w:p>
    <w:p>
      <w:pPr>
        <w:pStyle w:val="BodyText"/>
      </w:pPr>
      <w:r>
        <w:t xml:space="preserve">A选项错误，仅当发现具体可疑交易或行为时才需提交SAR，未完成审查本身不构成可疑活动。</w:t>
      </w:r>
    </w:p>
    <w:p>
      <w:pPr>
        <w:pStyle w:val="BodyText"/>
      </w:pPr>
      <w:r>
        <w:t xml:space="preserve">B选项错误，高风险客户未经审查不得降级，否则违反反洗钱（AML）原则。</w:t>
      </w:r>
    </w:p>
    <w:p>
      <w:pPr>
        <w:pStyle w:val="BodyText"/>
      </w:pPr>
      <w:r>
        <w:t xml:space="preserve">C选项错误，虽然暂停账户是临时控制措施，但必须先完成审查，确认客户风险是否变化，而非直接限制访问（除非发现可疑活动）。</w:t>
      </w:r>
    </w:p>
    <w:p>
      <w:pPr>
        <w:pStyle w:val="BodyText"/>
      </w:pPr>
      <w:r>
        <w:t xml:space="preserve">D选项正确，</w:t>
      </w:r>
      <w:r>
        <w:rPr>
          <w:b/>
        </w:rPr>
        <w:t xml:space="preserve">评估流程并纠正，首先应调查原因（如系统漏洞、人为疏忽或资源不足），并修复流程缺陷，防止类似问题再次发生。这是合规管理的基本要求，确保内部控制的持续有效性。</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2026-06-25T02:42:22Z</dcterms:created>
  <dcterms:modified xsi:type="dcterms:W3CDTF">2026-06-25T02:42:22Z</dcterms:modified>
</cp:coreProperties>
</file>

<file path=docProps/custom.xml><?xml version="1.0" encoding="utf-8"?>
<Properties xmlns="http://schemas.openxmlformats.org/officeDocument/2006/custom-properties" xmlns:vt="http://schemas.openxmlformats.org/officeDocument/2006/docPropsVTypes"/>
</file>