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8298106683e392bbd8b28a5b0d1b10f346391d"/>
      <w:r>
        <w:t xml:space="preserve">中文版CAMS真题（V6考纲）-137-导出题目-2026-06-25-10-42-12</w:t>
      </w:r>
      <w:bookmarkEnd w:id="20"/>
    </w:p>
    <w:p>
      <w:pPr>
        <w:pStyle w:val="FirstParagraph"/>
      </w:pPr>
      <w:r>
        <w:t xml:space="preserve">1.审查贸易融资交易的分析师注意到，在12个月内，相同规格和数量的商品价格上涨了25%。分析师应该采取什么行动?</w:t>
      </w:r>
    </w:p>
    <w:p>
      <w:pPr>
        <w:pStyle w:val="BodyText"/>
      </w:pPr>
      <w:r>
        <w:t xml:space="preserve">A.编制一份调查报告，找到证据证明分析师的怀疑，并提交一份SAR/STR</w:t>
      </w:r>
    </w:p>
    <w:p>
      <w:pPr>
        <w:pStyle w:val="BodyText"/>
      </w:pPr>
      <w:r>
        <w:t xml:space="preserve">B.编制一份调查报告，考虑可能合法影响交易成本的客户活动和因素</w:t>
      </w:r>
    </w:p>
    <w:p>
      <w:pPr>
        <w:pStyle w:val="BodyText"/>
      </w:pPr>
      <w:r>
        <w:t xml:space="preserve">C.为客户提供更新的尽职调查记录，以便加强监控</w:t>
      </w:r>
    </w:p>
    <w:p>
      <w:pPr>
        <w:pStyle w:val="BodyText"/>
      </w:pPr>
      <w:r>
        <w:t xml:space="preserve">D.编制一份SAR/STR，描述明显的基于贸易的洗钱行为，并提交金融调查股（FIU）</w:t>
      </w:r>
    </w:p>
    <w:p>
      <w:pPr>
        <w:pStyle w:val="BodyText"/>
      </w:pPr>
      <w:r>
        <w:t xml:space="preserve">答案:B</w:t>
      </w:r>
    </w:p>
    <w:p>
      <w:pPr>
        <w:pStyle w:val="BodyText"/>
      </w:pPr>
      <w:r>
        <w:t xml:space="preserve">解析:</w:t>
      </w:r>
      <w:r>
        <w:rPr>
          <w:b/>
        </w:rPr>
        <w:t xml:space="preserve">具体知识点:</w:t>
      </w:r>
    </w:p>
    <w:p>
      <w:pPr>
        <w:pStyle w:val="BodyText"/>
      </w:pPr>
      <w:r>
        <w:t xml:space="preserve">现金交易报告 (Currency Transaction Report; CTR)</w:t>
      </w:r>
    </w:p>
    <w:p>
      <w:pPr>
        <w:pStyle w:val="BodyText"/>
      </w:pPr>
      <w:r>
        <w:t xml:space="preserve">记录某一笔超过一定金额上限的现金交易的报告。如果同一天内多笔现金交易的累积金额超过某一限额，也可以提交</w:t>
      </w:r>
      <w:r>
        <w:rPr>
          <w:b/>
        </w:rPr>
        <w:t xml:space="preserve">现金交易报告</w:t>
      </w:r>
      <w:r>
        <w:t xml:space="preserve">。包括美国在内的一些国家针对何时应向政府部门提交现金交易报告进行了规定。</w:t>
      </w:r>
    </w:p>
    <w:p>
      <w:pPr>
        <w:pStyle w:val="BodyText"/>
      </w:pPr>
      <w:r>
        <w:rPr>
          <w:b/>
        </w:rPr>
        <w:t xml:space="preserve">选项分析:</w:t>
      </w:r>
    </w:p>
    <w:p>
      <w:pPr>
        <w:pStyle w:val="BodyText"/>
      </w:pPr>
      <w:r>
        <w:t xml:space="preserve">A和D选项错误，违反"风险为本"原则，未完成基本调查即上报可能构成滥报，香港海关2022年指引明确要求排除合理商业解释。</w:t>
      </w:r>
    </w:p>
    <w:p>
      <w:pPr>
        <w:pStyle w:val="BodyText"/>
      </w:pPr>
      <w:r>
        <w:t xml:space="preserve">C选项错误，更新尽职调查适用于风险缓释，但当前阶段尚未完成事实认定。</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2026-06-25T02:42:12Z</dcterms:created>
  <dcterms:modified xsi:type="dcterms:W3CDTF">2026-06-25T02:42:12Z</dcterms:modified>
</cp:coreProperties>
</file>

<file path=docProps/custom.xml><?xml version="1.0" encoding="utf-8"?>
<Properties xmlns="http://schemas.openxmlformats.org/officeDocument/2006/custom-properties" xmlns:vt="http://schemas.openxmlformats.org/officeDocument/2006/docPropsVTypes"/>
</file>