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Controls and Compliance Checklist - Botium Toys</w:t>
      </w:r>
    </w:p>
    <w:p>
      <w:pPr>
        <w:pStyle w:val="Heading1"/>
      </w:pPr>
      <w:r>
        <w:t>Controls Assessment Checklist</w:t>
      </w:r>
    </w:p>
    <w:p>
      <w:r>
        <w:t>Does Botium Toys currently have this control in place?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Control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X</w:t>
            </w:r>
          </w:p>
        </w:tc>
        <w:tc>
          <w:tcPr>
            <w:tcW w:type="dxa" w:w="2880"/>
          </w:tcPr>
          <w:p>
            <w:r>
              <w:t>Least Privilege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X</w:t>
            </w:r>
          </w:p>
        </w:tc>
        <w:tc>
          <w:tcPr>
            <w:tcW w:type="dxa" w:w="2880"/>
          </w:tcPr>
          <w:p>
            <w:r>
              <w:t>Disaster recovery plans</w:t>
            </w:r>
          </w:p>
        </w:tc>
      </w:tr>
      <w:tr>
        <w:tc>
          <w:tcPr>
            <w:tcW w:type="dxa" w:w="2880"/>
          </w:tcPr>
          <w:p>
            <w:r>
              <w:t>X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Password policies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X</w:t>
            </w:r>
          </w:p>
        </w:tc>
        <w:tc>
          <w:tcPr>
            <w:tcW w:type="dxa" w:w="2880"/>
          </w:tcPr>
          <w:p>
            <w:r>
              <w:t>Separation of duties</w:t>
            </w:r>
          </w:p>
        </w:tc>
      </w:tr>
      <w:tr>
        <w:tc>
          <w:tcPr>
            <w:tcW w:type="dxa" w:w="2880"/>
          </w:tcPr>
          <w:p>
            <w:r>
              <w:t>X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Firewall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X</w:t>
            </w:r>
          </w:p>
        </w:tc>
        <w:tc>
          <w:tcPr>
            <w:tcW w:type="dxa" w:w="2880"/>
          </w:tcPr>
          <w:p>
            <w:r>
              <w:t>Intrusion detection system (IDS)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X</w:t>
            </w:r>
          </w:p>
        </w:tc>
        <w:tc>
          <w:tcPr>
            <w:tcW w:type="dxa" w:w="2880"/>
          </w:tcPr>
          <w:p>
            <w:r>
              <w:t>Backups</w:t>
            </w:r>
          </w:p>
        </w:tc>
      </w:tr>
      <w:tr>
        <w:tc>
          <w:tcPr>
            <w:tcW w:type="dxa" w:w="2880"/>
          </w:tcPr>
          <w:p>
            <w:r>
              <w:t>X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Antivirus software</w:t>
            </w:r>
          </w:p>
        </w:tc>
      </w:tr>
      <w:tr>
        <w:tc>
          <w:tcPr>
            <w:tcW w:type="dxa" w:w="2880"/>
          </w:tcPr>
          <w:p>
            <w:r>
              <w:t>X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Manual monitoring, maintenance, and intervention for legacy systems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X</w:t>
            </w:r>
          </w:p>
        </w:tc>
        <w:tc>
          <w:tcPr>
            <w:tcW w:type="dxa" w:w="2880"/>
          </w:tcPr>
          <w:p>
            <w:r>
              <w:t>Encryption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X</w:t>
            </w:r>
          </w:p>
        </w:tc>
        <w:tc>
          <w:tcPr>
            <w:tcW w:type="dxa" w:w="2880"/>
          </w:tcPr>
          <w:p>
            <w:r>
              <w:t>Password management system</w:t>
            </w:r>
          </w:p>
        </w:tc>
      </w:tr>
      <w:tr>
        <w:tc>
          <w:tcPr>
            <w:tcW w:type="dxa" w:w="2880"/>
          </w:tcPr>
          <w:p>
            <w:r>
              <w:t>X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Locks (offices, storefront, warehouse)</w:t>
            </w:r>
          </w:p>
        </w:tc>
      </w:tr>
      <w:tr>
        <w:tc>
          <w:tcPr>
            <w:tcW w:type="dxa" w:w="2880"/>
          </w:tcPr>
          <w:p>
            <w:r>
              <w:t>X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Closed-circuit television (CCTV) surveillance</w:t>
            </w:r>
          </w:p>
        </w:tc>
      </w:tr>
      <w:tr>
        <w:tc>
          <w:tcPr>
            <w:tcW w:type="dxa" w:w="2880"/>
          </w:tcPr>
          <w:p>
            <w:r>
              <w:t>X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Fire detection/prevention (fire alarm, sprinkler system, etc.)</w:t>
            </w:r>
          </w:p>
        </w:tc>
      </w:tr>
    </w:tbl>
    <w:p/>
    <w:p>
      <w:pPr>
        <w:pStyle w:val="Heading1"/>
      </w:pPr>
      <w:r>
        <w:t>Compliance Checklist</w:t>
      </w:r>
    </w:p>
    <w:p>
      <w:pPr>
        <w:pStyle w:val="Heading2"/>
      </w:pPr>
      <w:r>
        <w:t>Payment Card Industry Data Security Standard (PCI DSS)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Best practice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X</w:t>
            </w:r>
          </w:p>
        </w:tc>
        <w:tc>
          <w:tcPr>
            <w:tcW w:type="dxa" w:w="2880"/>
          </w:tcPr>
          <w:p>
            <w:r>
              <w:t>Only authorized users have access to customers’ credit card information.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X</w:t>
            </w:r>
          </w:p>
        </w:tc>
        <w:tc>
          <w:tcPr>
            <w:tcW w:type="dxa" w:w="2880"/>
          </w:tcPr>
          <w:p>
            <w:r>
              <w:t>Credit card information is stored, accepted, processed, and transmitted internally, in a secure environment.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X</w:t>
            </w:r>
          </w:p>
        </w:tc>
        <w:tc>
          <w:tcPr>
            <w:tcW w:type="dxa" w:w="2880"/>
          </w:tcPr>
          <w:p>
            <w:r>
              <w:t>Implement data encryption procedures to better secure credit card transaction touchpoints and data.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X</w:t>
            </w:r>
          </w:p>
        </w:tc>
        <w:tc>
          <w:tcPr>
            <w:tcW w:type="dxa" w:w="2880"/>
          </w:tcPr>
          <w:p>
            <w:r>
              <w:t>Adopt secure password management policies.</w:t>
            </w:r>
          </w:p>
        </w:tc>
      </w:tr>
    </w:tbl>
    <w:p/>
    <w:p>
      <w:pPr>
        <w:pStyle w:val="Heading2"/>
      </w:pPr>
      <w:r>
        <w:t>General Data Protection Regulation (GDPR)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Best practice</w:t>
            </w:r>
          </w:p>
        </w:tc>
      </w:tr>
      <w:tr>
        <w:tc>
          <w:tcPr>
            <w:tcW w:type="dxa" w:w="2880"/>
          </w:tcPr>
          <w:p>
            <w:r>
              <w:t>X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E.U. customers’ data is kept private/secured.</w:t>
            </w:r>
          </w:p>
        </w:tc>
      </w:tr>
      <w:tr>
        <w:tc>
          <w:tcPr>
            <w:tcW w:type="dxa" w:w="2880"/>
          </w:tcPr>
          <w:p>
            <w:r>
              <w:t>X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There is a plan in place to notify E.U. customers within 72 hours if their data is compromised/there is a breach.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X</w:t>
            </w:r>
          </w:p>
        </w:tc>
        <w:tc>
          <w:tcPr>
            <w:tcW w:type="dxa" w:w="2880"/>
          </w:tcPr>
          <w:p>
            <w:r>
              <w:t>Ensure data is properly classified and inventoried.</w:t>
            </w:r>
          </w:p>
        </w:tc>
      </w:tr>
      <w:tr>
        <w:tc>
          <w:tcPr>
            <w:tcW w:type="dxa" w:w="2880"/>
          </w:tcPr>
          <w:p>
            <w:r>
              <w:t>X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Enforce privacy policies, procedures, and processes to properly document and maintain data.</w:t>
            </w:r>
          </w:p>
        </w:tc>
      </w:tr>
    </w:tbl>
    <w:p/>
    <w:p>
      <w:pPr>
        <w:pStyle w:val="Heading2"/>
      </w:pPr>
      <w:r>
        <w:t>System and Organizations Controls (SOC type 1, SOC type 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Best practice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X</w:t>
            </w:r>
          </w:p>
        </w:tc>
        <w:tc>
          <w:tcPr>
            <w:tcW w:type="dxa" w:w="2880"/>
          </w:tcPr>
          <w:p>
            <w:r>
              <w:t>User access policies are established.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X</w:t>
            </w:r>
          </w:p>
        </w:tc>
        <w:tc>
          <w:tcPr>
            <w:tcW w:type="dxa" w:w="2880"/>
          </w:tcPr>
          <w:p>
            <w:r>
              <w:t>Sensitive data (PII/SPII) is confidential/private.</w:t>
            </w:r>
          </w:p>
        </w:tc>
      </w:tr>
      <w:tr>
        <w:tc>
          <w:tcPr>
            <w:tcW w:type="dxa" w:w="2880"/>
          </w:tcPr>
          <w:p>
            <w:r>
              <w:t>X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Data integrity ensures the data is consistent, complete, accurate, and has been validated.</w:t>
            </w:r>
          </w:p>
        </w:tc>
      </w:tr>
      <w:tr>
        <w:tc>
          <w:tcPr>
            <w:tcW w:type="dxa" w:w="2880"/>
          </w:tcPr>
          <w:p>
            <w:r>
              <w:t>X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Data is available to individuals authorized to access it.</w:t>
            </w:r>
          </w:p>
        </w:tc>
      </w:tr>
    </w:tbl>
    <w:p/>
    <w:p>
      <w:pPr>
        <w:pStyle w:val="Heading1"/>
      </w:pPr>
      <w:r>
        <w:t>Recommendations (optional)</w:t>
      </w:r>
    </w:p>
    <w:p>
      <w:r>
        <w:t>To reduce Botium Toys' high risk score (8/10), the IT department must immediately implement data encryption for customer payment information, establish least privilege and separation of duties access controls, deploy a centralized password management system and intrusion detection system (IDS), and create robust disaster recovery and backup plans.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