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A86EF">
      <w:pPr>
        <w:autoSpaceDE w:val="0"/>
        <w:autoSpaceDN w:val="0"/>
        <w:adjustRightInd w:val="0"/>
        <w:spacing w:after="0" w:line="240" w:lineRule="auto"/>
        <w:jc w:val="center"/>
        <w:rPr>
          <w:rFonts w:ascii="Times New Roman" w:hAnsi="Times New Roman" w:cs="Times New Roman"/>
          <w:b/>
          <w:sz w:val="24"/>
          <w:szCs w:val="24"/>
          <w:lang w:val="en-SG"/>
        </w:rPr>
      </w:pPr>
      <w:r>
        <w:rPr>
          <w:rFonts w:ascii="Times New Roman" w:hAnsi="Times New Roman" w:cs="Times New Roman"/>
          <w:b/>
          <w:bCs/>
          <w:color w:val="000000"/>
          <w:sz w:val="24"/>
          <w:szCs w:val="24"/>
          <w:lang w:val="en-SG"/>
        </w:rPr>
        <w:t>University of Macau</w:t>
      </w:r>
    </w:p>
    <w:p w14:paraId="1D44FF83">
      <w:pPr>
        <w:autoSpaceDE w:val="0"/>
        <w:autoSpaceDN w:val="0"/>
        <w:adjustRightInd w:val="0"/>
        <w:spacing w:after="0" w:line="240" w:lineRule="auto"/>
        <w:jc w:val="center"/>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Institute of Artificial Intelligence and Brain Science</w:t>
      </w:r>
    </w:p>
    <w:p w14:paraId="2FF30A41">
      <w:pPr>
        <w:autoSpaceDE w:val="0"/>
        <w:autoSpaceDN w:val="0"/>
        <w:adjustRightInd w:val="0"/>
        <w:spacing w:after="0" w:line="240" w:lineRule="auto"/>
        <w:jc w:val="center"/>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CISC7298 Project Report</w:t>
      </w:r>
    </w:p>
    <w:p w14:paraId="3A74D1E0">
      <w:pPr>
        <w:autoSpaceDE w:val="0"/>
        <w:autoSpaceDN w:val="0"/>
        <w:adjustRightInd w:val="0"/>
        <w:spacing w:after="0" w:line="240" w:lineRule="auto"/>
        <w:jc w:val="center"/>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Progress Report 1</w:t>
      </w:r>
    </w:p>
    <w:p w14:paraId="05B3C282">
      <w:pPr>
        <w:autoSpaceDE w:val="0"/>
        <w:autoSpaceDN w:val="0"/>
        <w:adjustRightInd w:val="0"/>
        <w:spacing w:after="0" w:line="240" w:lineRule="auto"/>
        <w:jc w:val="center"/>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1</w:t>
      </w:r>
      <w:r>
        <w:rPr>
          <w:rFonts w:ascii="Times New Roman" w:hAnsi="Times New Roman" w:cs="Times New Roman"/>
          <w:b/>
          <w:bCs/>
          <w:color w:val="000000"/>
          <w:sz w:val="24"/>
          <w:szCs w:val="24"/>
          <w:vertAlign w:val="superscript"/>
          <w:lang w:val="en-SG"/>
        </w:rPr>
        <w:t>st</w:t>
      </w:r>
      <w:r>
        <w:rPr>
          <w:rFonts w:ascii="Times New Roman" w:hAnsi="Times New Roman" w:cs="Times New Roman"/>
          <w:b/>
          <w:bCs/>
          <w:color w:val="000000"/>
          <w:sz w:val="24"/>
          <w:szCs w:val="24"/>
          <w:lang w:val="en-SG"/>
        </w:rPr>
        <w:t xml:space="preserve"> Semester 2026/2027</w:t>
      </w:r>
    </w:p>
    <w:p w14:paraId="447F7E57">
      <w:pPr>
        <w:autoSpaceDE w:val="0"/>
        <w:autoSpaceDN w:val="0"/>
        <w:adjustRightInd w:val="0"/>
        <w:spacing w:after="0" w:line="240" w:lineRule="auto"/>
        <w:rPr>
          <w:rFonts w:ascii="Times New Roman" w:hAnsi="Times New Roman" w:cs="Times New Roman"/>
          <w:b/>
          <w:bCs/>
          <w:color w:val="000000"/>
          <w:sz w:val="24"/>
          <w:szCs w:val="24"/>
          <w:lang w:val="en-SG"/>
        </w:rPr>
      </w:pPr>
    </w:p>
    <w:p w14:paraId="63FC9540">
      <w:pPr>
        <w:autoSpaceDE w:val="0"/>
        <w:autoSpaceDN w:val="0"/>
        <w:adjustRightInd w:val="0"/>
        <w:spacing w:after="0" w:line="240" w:lineRule="auto"/>
        <w:rPr>
          <w:rFonts w:hint="default" w:ascii="Times New Roman" w:hAnsi="Times New Roman" w:cs="Times New Roman" w:eastAsiaTheme="minorEastAsia"/>
          <w:b/>
          <w:bCs/>
          <w:color w:val="000000"/>
          <w:sz w:val="24"/>
          <w:szCs w:val="24"/>
          <w:lang w:val="en-US" w:eastAsia="zh-CN"/>
        </w:rPr>
      </w:pPr>
      <w:r>
        <w:rPr>
          <w:rFonts w:ascii="Times New Roman" w:hAnsi="Times New Roman" w:cs="Times New Roman"/>
          <w:b/>
          <w:bCs/>
          <w:color w:val="000000"/>
          <w:sz w:val="24"/>
          <w:szCs w:val="24"/>
          <w:lang w:val="en-SG"/>
        </w:rPr>
        <w:t>Name:</w:t>
      </w:r>
      <w:r>
        <w:rPr>
          <w:rFonts w:hint="eastAsia" w:ascii="Times New Roman" w:hAnsi="Times New Roman" w:cs="Times New Roman"/>
          <w:b/>
          <w:bCs/>
          <w:color w:val="000000"/>
          <w:sz w:val="24"/>
          <w:szCs w:val="24"/>
          <w:lang w:val="en-US" w:eastAsia="zh-CN"/>
        </w:rPr>
        <w:t xml:space="preserve"> Zeng Kaibo</w:t>
      </w:r>
    </w:p>
    <w:p w14:paraId="3FF6D27A">
      <w:pPr>
        <w:autoSpaceDE w:val="0"/>
        <w:autoSpaceDN w:val="0"/>
        <w:adjustRightInd w:val="0"/>
        <w:spacing w:after="0" w:line="240" w:lineRule="auto"/>
        <w:rPr>
          <w:rFonts w:hint="default" w:ascii="Times New Roman" w:hAnsi="Times New Roman" w:cs="Times New Roman" w:eastAsiaTheme="minorEastAsia"/>
          <w:b/>
          <w:bCs/>
          <w:color w:val="000000"/>
          <w:sz w:val="24"/>
          <w:szCs w:val="24"/>
          <w:lang w:val="en-US" w:eastAsia="zh-CN"/>
        </w:rPr>
      </w:pPr>
      <w:r>
        <w:rPr>
          <w:rFonts w:hint="eastAsia" w:ascii="Times New Roman" w:hAnsi="Times New Roman" w:cs="Times New Roman"/>
          <w:b/>
          <w:bCs/>
          <w:color w:val="000000"/>
          <w:sz w:val="24"/>
          <w:szCs w:val="24"/>
          <w:lang w:val="en-SG"/>
        </w:rPr>
        <w:t>S</w:t>
      </w:r>
      <w:r>
        <w:rPr>
          <w:rFonts w:ascii="Times New Roman" w:hAnsi="Times New Roman" w:cs="Times New Roman"/>
          <w:b/>
          <w:bCs/>
          <w:color w:val="000000"/>
          <w:sz w:val="24"/>
          <w:szCs w:val="24"/>
          <w:lang w:val="en-SG"/>
        </w:rPr>
        <w:t>tudent ID:</w:t>
      </w:r>
      <w:r>
        <w:rPr>
          <w:rFonts w:hint="eastAsia" w:ascii="Times New Roman" w:hAnsi="Times New Roman" w:cs="Times New Roman"/>
          <w:b/>
          <w:bCs/>
          <w:color w:val="000000"/>
          <w:sz w:val="24"/>
          <w:szCs w:val="24"/>
          <w:lang w:val="en-US" w:eastAsia="zh-CN"/>
        </w:rPr>
        <w:t xml:space="preserve"> MC566823</w:t>
      </w:r>
    </w:p>
    <w:p w14:paraId="417EED1C">
      <w:pPr>
        <w:autoSpaceDE w:val="0"/>
        <w:autoSpaceDN w:val="0"/>
        <w:adjustRightInd w:val="0"/>
        <w:spacing w:after="0" w:line="240" w:lineRule="auto"/>
        <w:rPr>
          <w:rFonts w:ascii="Times New Roman" w:hAnsi="Times New Roman" w:cs="Times New Roman"/>
          <w:b/>
          <w:bCs/>
          <w:color w:val="000000"/>
          <w:sz w:val="24"/>
          <w:szCs w:val="24"/>
          <w:lang w:val="en-SG"/>
        </w:rPr>
      </w:pPr>
    </w:p>
    <w:p w14:paraId="49CC907C">
      <w:pPr>
        <w:autoSpaceDE w:val="0"/>
        <w:autoSpaceDN w:val="0"/>
        <w:adjustRightInd w:val="0"/>
        <w:spacing w:after="0" w:line="240" w:lineRule="auto"/>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Title and Abstract: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7430C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spacing w:after="120" w:line="276" w:lineRule="auto"/>
              <w:ind w:firstLine="360"/>
              <w:jc w:val="both"/>
            </w:pPr>
            <w:r/>
            <w:r>
              <w:rPr>
                <w:rFonts w:ascii="Times New Roman" w:hAnsi="Times New Roman" w:eastAsia="Times New Roman"/>
                <w:b w:val="0"/>
                <w:sz w:val="22"/>
              </w:rPr>
              <w:t>Title: Hierarchical Lifelong Multi-Agent Pickup-and-Delivery for Warehouse AGVs via Spatiotemporal A* with ECBS Escalation</w:t>
            </w:r>
          </w:p>
          <w:p>
            <w:pPr>
              <w:spacing w:after="120" w:line="276" w:lineRule="auto"/>
              <w:ind w:firstLine="360"/>
              <w:jc w:val="both"/>
            </w:pPr>
            <w:r>
              <w:rPr>
                <w:rFonts w:ascii="Times New Roman" w:hAnsi="Times New Roman" w:eastAsia="Times New Roman"/>
                <w:b w:val="0"/>
                <w:sz w:val="22"/>
              </w:rPr>
              <w:t>Abstract. This project studies lifelong multi-agent pickup-and-delivery (MAPD) for automated guided vehicles (AGVs) on a 20x20 warehouse grid. Station queues follow FIFO order. Turns are performed in place and finish within one second (including 180 degrees), without moving in the same second. Pickup and unload each require a one-second dwell. We propose a hierarchical planner: a fast spatiotemporal A* layer (M0) runs by default, and windowed Enhanced Conflict-Based Search (ECBS) is used only when progress stalls. Two small neural networks support the hierarchy: SwapNet for station task swaps under M0, and StallEscalateNet for M0-to-ECBS handoff. All trajectories are checked by a shared validator. On twenty maps with 100 tasks each, both hierarchical M0-ECBS and pure windowed ECBS finish all tasks with valid trajectories. Reactive PIBT, M0 alone, and priority planning do worse on congested maps. Hierarchy also lowers average makespan versus always-on ECBS (about 4616 vs 7364 ticks), at a moderate increase in planning time.</w:t>
            </w:r>
          </w:p>
        </w:tc>
      </w:tr>
    </w:tbl>
    <w:p w14:paraId="1E1AE2AD">
      <w:pPr>
        <w:autoSpaceDE w:val="0"/>
        <w:autoSpaceDN w:val="0"/>
        <w:adjustRightInd w:val="0"/>
        <w:spacing w:after="0" w:line="240" w:lineRule="auto"/>
        <w:rPr>
          <w:rFonts w:hint="eastAsia" w:ascii="Times New Roman" w:hAnsi="Times New Roman" w:cs="Times New Roman"/>
          <w:b/>
          <w:bCs/>
          <w:color w:val="000000"/>
          <w:sz w:val="24"/>
          <w:szCs w:val="24"/>
          <w:lang w:val="en-SG"/>
        </w:rPr>
      </w:pPr>
    </w:p>
    <w:p w14:paraId="7D30A5C0">
      <w:pPr>
        <w:autoSpaceDE w:val="0"/>
        <w:autoSpaceDN w:val="0"/>
        <w:adjustRightInd w:val="0"/>
        <w:spacing w:after="0" w:line="240" w:lineRule="auto"/>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Introduction (with OR w/o Related Work/Literature Review):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7E90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spacing w:after="120" w:line="276" w:lineRule="auto"/>
              <w:ind w:firstLine="360"/>
              <w:jc w:val="both"/>
            </w:pPr>
            <w:r/>
            <w:r>
              <w:rPr>
                <w:rFonts w:ascii="Times New Roman" w:hAnsi="Times New Roman" w:eastAsia="Times New Roman"/>
                <w:b w:val="0"/>
                <w:sz w:val="22"/>
              </w:rPr>
              <w:t>Warehouse AGVs must keep assigning pickups, avoid static obstacles and other robots, and respect FIFO station order. One-shot multi-agent path finding (MAPF) does not cover lifelong task release. Reactive methods such as PIBT scale well but often deadlock in narrow corridors. Joint search methods such as CBS and ECBS resolve conflicts more reliably, but calling them at every step can raise makespan and runtime.</w:t>
            </w:r>
          </w:p>
          <w:p>
            <w:pPr>
              <w:spacing w:after="120" w:line="276" w:lineRule="auto"/>
              <w:ind w:firstLine="360"/>
              <w:jc w:val="both"/>
            </w:pPr>
            <w:r>
              <w:rPr>
                <w:rFonts w:ascii="Times New Roman" w:hAnsi="Times New Roman" w:eastAsia="Times New Roman"/>
                <w:b w:val="0"/>
                <w:sz w:val="22"/>
              </w:rPr>
              <w:t>Our goal is to complete as many deliveries as possible under these motion and FIFO rules. The main question is whether a hierarchical policy can match always-ECBS completion: use cheap spatiotemporal A* most of the time, and call ECBS only when throughput stalls, so that easy maps still keep M0-level efficiency. Two small neural aides help this policy without replacing search.</w:t>
            </w:r>
          </w:p>
          <w:p>
            <w:pPr>
              <w:spacing w:after="120" w:line="276" w:lineRule="auto"/>
              <w:ind w:firstLine="360"/>
              <w:jc w:val="both"/>
            </w:pPr>
            <w:r>
              <w:rPr>
                <w:rFonts w:ascii="Times New Roman" w:hAnsi="Times New Roman" w:eastAsia="Times New Roman"/>
                <w:b w:val="0"/>
                <w:sz w:val="22"/>
              </w:rPr>
              <w:t>Related work. Conflict-Based Search (CBS) and weighted ECBS are standard for bounded-suboptimal joint plans. Priority planning and windowed lifelong planners (WHCA*/RHCR-style) support continuous operation with limited horizons. PIBT offers fast one-step conflict resolution without reservations. Learned components in MAPF are often large policies; we instead use narrow binary networks as gates inside a classical stack. M0 runs lifelong traffic with reservation tables. StallEscalateNet and rule stall signals decide when to start ECBS. A handoff snapshot keeps cargo state and FIFO heads consistent across the switch.</w:t>
            </w:r>
          </w:p>
        </w:tc>
      </w:tr>
    </w:tbl>
    <w:p w14:paraId="61D17F31">
      <w:pPr>
        <w:autoSpaceDE w:val="0"/>
        <w:autoSpaceDN w:val="0"/>
        <w:adjustRightInd w:val="0"/>
        <w:spacing w:after="0" w:line="240" w:lineRule="auto"/>
        <w:rPr>
          <w:rFonts w:hint="eastAsia" w:ascii="Times New Roman" w:hAnsi="Times New Roman" w:cs="Times New Roman"/>
          <w:b/>
          <w:bCs/>
          <w:color w:val="000000"/>
          <w:sz w:val="24"/>
          <w:szCs w:val="24"/>
          <w:lang w:val="en-SG"/>
        </w:rPr>
      </w:pPr>
    </w:p>
    <w:p w14:paraId="2EE73F4E">
      <w:pPr>
        <w:autoSpaceDE w:val="0"/>
        <w:autoSpaceDN w:val="0"/>
        <w:adjustRightInd w:val="0"/>
        <w:spacing w:after="0" w:line="240" w:lineRule="auto"/>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Methodology: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0056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spacing w:after="120" w:line="276" w:lineRule="auto"/>
              <w:ind w:firstLine="360"/>
              <w:jc w:val="both"/>
            </w:pPr>
            <w:r/>
            <w:r>
              <w:rPr>
                <w:rFonts w:ascii="Times New Roman" w:hAnsi="Times New Roman" w:eastAsia="Times New Roman"/>
                <w:b w:val="0"/>
                <w:sz w:val="22"/>
              </w:rPr>
              <w:t>Problem model. Each map has six pickup stations and sixteen dropoff hubs on a 20x20 grid. The main study uses 100-task instances; larger 400-task runs are used for stress tests. An AGV carries at most one package. Pickup happens at the approach cell next to a station after a one-second dwell with no turning. Unload happens on a free 4-neighbor of the destination hub, with the same dwell rule.</w:t>
            </w:r>
          </w:p>
          <w:p>
            <w:pPr>
              <w:spacing w:after="120" w:line="276" w:lineRule="auto"/>
              <w:ind w:firstLine="360"/>
              <w:jc w:val="both"/>
            </w:pPr>
            <w:r>
              <w:rPr>
                <w:rFonts w:ascii="Times New Roman" w:hAnsi="Times New Roman" w:eastAsia="Times New Roman"/>
                <w:b w:val="0"/>
                <w:sz w:val="22"/>
              </w:rPr>
              <w:t>Layer M0 (default). Free AGVs are assigned to station FIFO heads, with at most one approacher per station. Paths are planned by spatiotemporal A* with a rolling moving-obstacle horizon. Vertex collisions and edge swaps are forbidden. M0 is fast on open maps, but it may stall when corridors become congested.</w:t>
            </w:r>
          </w:p>
          <w:p>
            <w:pPr>
              <w:spacing w:after="120" w:line="276" w:lineRule="auto"/>
              <w:ind w:firstLine="360"/>
              <w:jc w:val="both"/>
            </w:pPr>
            <w:r>
              <w:rPr>
                <w:rFonts w:ascii="Times New Roman" w:hAnsi="Times New Roman" w:eastAsia="Times New Roman"/>
                <w:b w:val="0"/>
                <w:sz w:val="22"/>
              </w:rPr>
              <w:t>Hierarchical gate and ECBS escalation. The system starts in M0 and tracks runtime signals such as completion plateaus and assignment failures. If M0 still stalls after a short recovery window, or if StallEscalateNet fires, we take a handoff snapshot and continue with windowed joint ECBS. FIFO queue order is never changed by escalation.</w:t>
            </w:r>
          </w:p>
          <w:p>
            <w:pPr>
              <w:spacing w:after="120" w:line="276" w:lineRule="auto"/>
              <w:ind w:firstLine="360"/>
              <w:jc w:val="both"/>
            </w:pPr>
            <w:r>
              <w:rPr>
                <w:rFonts w:ascii="Times New Roman" w:hAnsi="Times New Roman" w:eastAsia="Times New Roman"/>
                <w:b w:val="0"/>
                <w:sz w:val="22"/>
              </w:rPr>
              <w:t>AI module 1: SwapNet. SwapNet is a small MLP with structure 16 -&gt; 48 -&gt; 48 -&gt; 1 and a sigmoid output. Input is a 16-dimensional feature vector for a candidate station swap under M0: normalized ETAs and distances of the far and near agents, their ETA gap, task urgency, remaining time and SLA slack, urgent gain, whether the near agent is idle or already holds an urgent task, queue depth, margin ratio, and SLA meet/miss flags. Output is P(authorize swap). Training imitates a heuristic teacher on logged swap contexts and favors precision over recall. At runtime the engine still rejects any swap that would skip a FIFO station head, so the network cannot break queue legality.</w:t>
            </w:r>
          </w:p>
          <w:p>
            <w:pPr>
              <w:spacing w:after="120" w:line="276" w:lineRule="auto"/>
              <w:ind w:firstLine="360"/>
              <w:jc w:val="both"/>
            </w:pPr>
            <w:r>
              <w:rPr>
                <w:rFonts w:ascii="Times New Roman" w:hAnsi="Times New Roman" w:eastAsia="Times New Roman"/>
                <w:b w:val="0"/>
                <w:sz w:val="22"/>
              </w:rPr>
              <w:t>AI module 2: StallEscalateNet. StallEscalateNet is an MLP with structure 15 -&gt; 48 -&gt; 48 -&gt; 1 and a sigmoid output. Input is a 15-dimensional stall vector: map hardness and narrow-cut priors, done ratio, normalized plateau / idle / assign-fail / throughput-drop / wall-tick streaks, plan-fail rate, wall-window hit, sim-per-task, wall elapsed, has-work, loaded ratio, and recent completions in a short sim window. Output is P(escalate M0 to ECBS), compared with a high threshold (about 0.72) so that healthy M0 on easy maps is left alone. The network is trained to catch wall-clock thrash while avoiding unnecessary escalation.</w:t>
            </w:r>
          </w:p>
          <w:p>
            <w:pPr>
              <w:spacing w:after="120" w:line="276" w:lineRule="auto"/>
              <w:ind w:firstLine="360"/>
              <w:jc w:val="both"/>
            </w:pPr>
            <w:r>
              <w:rPr>
                <w:rFonts w:ascii="Times New Roman" w:hAnsi="Times New Roman" w:eastAsia="Times New Roman"/>
                <w:b w:val="0"/>
                <w:sz w:val="22"/>
              </w:rPr>
              <w:t>Other AI modules. WaveNet (MLP on 12-D agent features, optional map CNN) and SceneDifficultyNet (map CNN plus scalars) exist for wave ranking and scene hardness estimation. They are offline or optional in this report and are not required for the hierarchical baseline numbers below. Search itself remains classical: M0 spatiotemporal A* and windowed ECBS.</w:t>
            </w:r>
          </w:p>
          <w:p>
            <w:pPr>
              <w:spacing w:after="120" w:line="276" w:lineRule="auto"/>
              <w:ind w:firstLine="360"/>
              <w:jc w:val="both"/>
            </w:pPr>
            <w:r>
              <w:rPr>
                <w:rFonts w:ascii="Times New Roman" w:hAnsi="Times New Roman" w:eastAsia="Times New Roman"/>
                <w:b w:val="0"/>
                <w:sz w:val="22"/>
              </w:rPr>
              <w:t>Windowed ECBS baseline. We also run pure windowed ECBS as a joint planning baseline. To keep trajectories valid, we added a few practical guards: reject unload events off the legal pad; restore cargo state when the log still shows loaded but the planner bag lost the task; and refuse a new pickup while another task is still carried. These fixes remove premature unload and FIFO errors seen on dense maps such as SH11 and SH12.</w:t>
            </w:r>
          </w:p>
          <w:p>
            <w:pPr>
              <w:spacing w:after="120" w:line="276" w:lineRule="auto"/>
              <w:ind w:firstLine="360"/>
              <w:jc w:val="both"/>
            </w:pPr>
            <w:r>
              <w:rPr>
                <w:rFonts w:ascii="Times New Roman" w:hAnsi="Times New Roman" w:eastAsia="Times New Roman"/>
                <w:b w:val="0"/>
                <w:sz w:val="22"/>
              </w:rPr>
              <w:t>Baselines. Under the same maps, task files, motion rules, and validator, we compare five methods: (1) reactive PIBT; (2) M0-only spatiotemporal A*; (3) priority planning with A*; (4) windowed ECBS without hierarchy; (5) hierarchical M0-ECBS with SwapNet and StallEscalateNet (ours).</w:t>
            </w:r>
          </w:p>
        </w:tc>
      </w:tr>
    </w:tbl>
    <w:p w14:paraId="2E9B86FF">
      <w:pPr>
        <w:autoSpaceDE w:val="0"/>
        <w:autoSpaceDN w:val="0"/>
        <w:adjustRightInd w:val="0"/>
        <w:spacing w:after="0" w:line="240" w:lineRule="auto"/>
        <w:rPr>
          <w:rFonts w:hint="eastAsia" w:ascii="Times New Roman" w:hAnsi="Times New Roman" w:cs="Times New Roman"/>
          <w:b/>
          <w:bCs/>
          <w:color w:val="000000"/>
          <w:sz w:val="24"/>
          <w:szCs w:val="24"/>
          <w:lang w:val="en-SG"/>
        </w:rPr>
      </w:pPr>
    </w:p>
    <w:p w14:paraId="3976B516">
      <w:pPr>
        <w:autoSpaceDE w:val="0"/>
        <w:autoSpaceDN w:val="0"/>
        <w:adjustRightInd w:val="0"/>
        <w:spacing w:after="0" w:line="240" w:lineRule="auto"/>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Experimental Results: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56A0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spacing w:after="120" w:line="276" w:lineRule="auto"/>
              <w:ind w:firstLine="360"/>
              <w:jc w:val="both"/>
            </w:pPr>
            <w:r/>
            <w:r>
              <w:rPr>
                <w:rFonts w:ascii="Times New Roman" w:hAnsi="Times New Roman" w:eastAsia="Times New Roman"/>
                <w:b w:val="0"/>
                <w:sz w:val="22"/>
              </w:rPr>
              <w:t>Setup. We evaluate maps SH_custom_01-20 with 100-task instances and the full AGV fleet. Constrained runs use a 1800 s wall-time limit; hierarchical and ECBS runs that need more planning time are repeated without that limit. Simulation horizons go up to 500000 ticks when we measure completion. Metrics are completed tasks out of 100, trajectory validity, simulation makespan, wall-clock time, and total Manhattan travel.</w:t>
            </w:r>
          </w:p>
          <w:p>
            <w:pPr>
              <w:spacing w:after="120" w:line="276" w:lineRule="auto"/>
              <w:ind w:firstLine="360"/>
              <w:jc w:val="both"/>
            </w:pPr>
            <w:r>
              <w:rPr>
                <w:rFonts w:ascii="Times New Roman" w:hAnsi="Times New Roman" w:eastAsia="Times New Roman"/>
                <w:b w:val="0"/>
                <w:sz w:val="22"/>
              </w:rPr>
              <w:t>Aggregate results on SH01-20 are shown below. Both ECBS and Hier finish all 100 tasks on every map with valid trajectories. Hierarchy cuts average makespan by about 37% versus always-on ECBS (4616 vs 7364), with a moderate rise in average wall-clock time (704 s vs 543 s). PIBT is very fast but averages only 63.9 completed tasks and fully finishes 8/20 maps. Pure M0 stays valid but finishes only 4/20 maps. Priority planning is weakest on both completion and validity (7/20 valid).</w:t>
            </w:r>
          </w:p>
          <w:tbl>
            <w:tblPr>
              <w:tblStyle w:val="6"/>
              <w:tblW w:type="auto" w:w="0"/>
              <w:tblLook w:firstColumn="1" w:firstRow="1" w:lastColumn="0" w:lastRow="0" w:noHBand="0" w:noVBand="1" w:val="04A0"/>
            </w:tblPr>
            <w:tblGrid>
              <w:gridCol w:w="1494"/>
              <w:gridCol w:w="1494"/>
              <w:gridCol w:w="1494"/>
              <w:gridCol w:w="1494"/>
              <w:gridCol w:w="1494"/>
              <w:gridCol w:w="1494"/>
              <w:gridCol w:w="1494"/>
            </w:tblGrid>
            <w:tr>
              <w:tc>
                <w:tcPr>
                  <w:tcW w:type="dxa" w:w="1494"/>
                </w:tcPr>
                <w:p>
                  <w:pPr>
                    <w:jc w:val="center"/>
                  </w:pPr>
                  <w:r/>
                  <w:r>
                    <w:rPr>
                      <w:rFonts w:ascii="Times New Roman" w:hAnsi="Times New Roman" w:eastAsia="Times New Roman"/>
                      <w:b/>
                      <w:sz w:val="18"/>
                    </w:rPr>
                    <w:t>Method</w:t>
                  </w:r>
                </w:p>
              </w:tc>
              <w:tc>
                <w:tcPr>
                  <w:tcW w:type="dxa" w:w="1494"/>
                </w:tcPr>
                <w:p>
                  <w:pPr>
                    <w:jc w:val="center"/>
                  </w:pPr>
                  <w:r/>
                  <w:r>
                    <w:rPr>
                      <w:rFonts w:ascii="Times New Roman" w:hAnsi="Times New Roman" w:eastAsia="Times New Roman"/>
                      <w:b/>
                      <w:sz w:val="18"/>
                    </w:rPr>
                    <w:t>maps</w:t>
                  </w:r>
                </w:p>
              </w:tc>
              <w:tc>
                <w:tcPr>
                  <w:tcW w:type="dxa" w:w="1494"/>
                </w:tcPr>
                <w:p>
                  <w:pPr>
                    <w:jc w:val="center"/>
                  </w:pPr>
                  <w:r/>
                  <w:r>
                    <w:rPr>
                      <w:rFonts w:ascii="Times New Roman" w:hAnsi="Times New Roman" w:eastAsia="Times New Roman"/>
                      <w:b/>
                      <w:sz w:val="18"/>
                    </w:rPr>
                    <w:t>full 100</w:t>
                  </w:r>
                </w:p>
              </w:tc>
              <w:tc>
                <w:tcPr>
                  <w:tcW w:type="dxa" w:w="1494"/>
                </w:tcPr>
                <w:p>
                  <w:pPr>
                    <w:jc w:val="center"/>
                  </w:pPr>
                  <w:r/>
                  <w:r>
                    <w:rPr>
                      <w:rFonts w:ascii="Times New Roman" w:hAnsi="Times New Roman" w:eastAsia="Times New Roman"/>
                      <w:b/>
                      <w:sz w:val="18"/>
                    </w:rPr>
                    <w:t>VALID</w:t>
                  </w:r>
                </w:p>
              </w:tc>
              <w:tc>
                <w:tcPr>
                  <w:tcW w:type="dxa" w:w="1494"/>
                </w:tcPr>
                <w:p>
                  <w:pPr>
                    <w:jc w:val="center"/>
                  </w:pPr>
                  <w:r/>
                  <w:r>
                    <w:rPr>
                      <w:rFonts w:ascii="Times New Roman" w:hAnsi="Times New Roman" w:eastAsia="Times New Roman"/>
                      <w:b/>
                      <w:sz w:val="18"/>
                    </w:rPr>
                    <w:t>avg done</w:t>
                  </w:r>
                </w:p>
              </w:tc>
              <w:tc>
                <w:tcPr>
                  <w:tcW w:type="dxa" w:w="1494"/>
                </w:tcPr>
                <w:p>
                  <w:pPr>
                    <w:jc w:val="center"/>
                  </w:pPr>
                  <w:r/>
                  <w:r>
                    <w:rPr>
                      <w:rFonts w:ascii="Times New Roman" w:hAnsi="Times New Roman" w:eastAsia="Times New Roman"/>
                      <w:b/>
                      <w:sz w:val="18"/>
                    </w:rPr>
                    <w:t>avg sim</w:t>
                  </w:r>
                </w:p>
              </w:tc>
              <w:tc>
                <w:tcPr>
                  <w:tcW w:type="dxa" w:w="1494"/>
                </w:tcPr>
                <w:p>
                  <w:pPr>
                    <w:jc w:val="center"/>
                  </w:pPr>
                  <w:r/>
                  <w:r>
                    <w:rPr>
                      <w:rFonts w:ascii="Times New Roman" w:hAnsi="Times New Roman" w:eastAsia="Times New Roman"/>
                      <w:b/>
                      <w:sz w:val="18"/>
                    </w:rPr>
                    <w:t>avg wall (s)</w:t>
                  </w:r>
                </w:p>
              </w:tc>
            </w:tr>
            <w:tr>
              <w:tc>
                <w:tcPr>
                  <w:tcW w:type="dxa" w:w="1494"/>
                </w:tcPr>
                <w:p>
                  <w:pPr>
                    <w:jc w:val="center"/>
                  </w:pPr>
                  <w:r/>
                  <w:r>
                    <w:rPr>
                      <w:rFonts w:ascii="Times New Roman" w:hAnsi="Times New Roman" w:eastAsia="Times New Roman"/>
                      <w:b w:val="0"/>
                      <w:sz w:val="18"/>
                    </w:rPr>
                    <w:t>PIBT</w:t>
                  </w:r>
                </w:p>
              </w:tc>
              <w:tc>
                <w:tcPr>
                  <w:tcW w:type="dxa" w:w="1494"/>
                </w:tcPr>
                <w:p>
                  <w:pPr>
                    <w:jc w:val="center"/>
                  </w:pPr>
                  <w:r/>
                  <w:r>
                    <w:rPr>
                      <w:rFonts w:ascii="Times New Roman" w:hAnsi="Times New Roman" w:eastAsia="Times New Roman"/>
                      <w:b w:val="0"/>
                      <w:sz w:val="18"/>
                    </w:rPr>
                    <w:t>20</w:t>
                  </w:r>
                </w:p>
              </w:tc>
              <w:tc>
                <w:tcPr>
                  <w:tcW w:type="dxa" w:w="1494"/>
                </w:tcPr>
                <w:p>
                  <w:pPr>
                    <w:jc w:val="center"/>
                  </w:pPr>
                  <w:r/>
                  <w:r>
                    <w:rPr>
                      <w:rFonts w:ascii="Times New Roman" w:hAnsi="Times New Roman" w:eastAsia="Times New Roman"/>
                      <w:b w:val="0"/>
                      <w:sz w:val="18"/>
                    </w:rPr>
                    <w:t>8/20</w:t>
                  </w:r>
                </w:p>
              </w:tc>
              <w:tc>
                <w:tcPr>
                  <w:tcW w:type="dxa" w:w="1494"/>
                </w:tcPr>
                <w:p>
                  <w:pPr>
                    <w:jc w:val="center"/>
                  </w:pPr>
                  <w:r/>
                  <w:r>
                    <w:rPr>
                      <w:rFonts w:ascii="Times New Roman" w:hAnsi="Times New Roman" w:eastAsia="Times New Roman"/>
                      <w:b w:val="0"/>
                      <w:sz w:val="18"/>
                    </w:rPr>
                    <w:t>20/20</w:t>
                  </w:r>
                </w:p>
              </w:tc>
              <w:tc>
                <w:tcPr>
                  <w:tcW w:type="dxa" w:w="1494"/>
                </w:tcPr>
                <w:p>
                  <w:pPr>
                    <w:jc w:val="center"/>
                  </w:pPr>
                  <w:r/>
                  <w:r>
                    <w:rPr>
                      <w:rFonts w:ascii="Times New Roman" w:hAnsi="Times New Roman" w:eastAsia="Times New Roman"/>
                      <w:b w:val="0"/>
                      <w:sz w:val="18"/>
                    </w:rPr>
                    <w:t>63.9</w:t>
                  </w:r>
                </w:p>
              </w:tc>
              <w:tc>
                <w:tcPr>
                  <w:tcW w:type="dxa" w:w="1494"/>
                </w:tcPr>
                <w:p>
                  <w:pPr>
                    <w:jc w:val="center"/>
                  </w:pPr>
                  <w:r/>
                  <w:r>
                    <w:rPr>
                      <w:rFonts w:ascii="Times New Roman" w:hAnsi="Times New Roman" w:eastAsia="Times New Roman"/>
                      <w:b w:val="0"/>
                      <w:sz w:val="18"/>
                    </w:rPr>
                    <w:t>62811</w:t>
                  </w:r>
                </w:p>
              </w:tc>
              <w:tc>
                <w:tcPr>
                  <w:tcW w:type="dxa" w:w="1494"/>
                </w:tcPr>
                <w:p>
                  <w:pPr>
                    <w:jc w:val="center"/>
                  </w:pPr>
                  <w:r/>
                  <w:r>
                    <w:rPr>
                      <w:rFonts w:ascii="Times New Roman" w:hAnsi="Times New Roman" w:eastAsia="Times New Roman"/>
                      <w:b w:val="0"/>
                      <w:sz w:val="18"/>
                    </w:rPr>
                    <w:t>40.5</w:t>
                  </w:r>
                </w:p>
              </w:tc>
            </w:tr>
            <w:tr>
              <w:tc>
                <w:tcPr>
                  <w:tcW w:type="dxa" w:w="1494"/>
                </w:tcPr>
                <w:p>
                  <w:pPr>
                    <w:jc w:val="center"/>
                  </w:pPr>
                  <w:r/>
                  <w:r>
                    <w:rPr>
                      <w:rFonts w:ascii="Times New Roman" w:hAnsi="Times New Roman" w:eastAsia="Times New Roman"/>
                      <w:b w:val="0"/>
                      <w:sz w:val="18"/>
                    </w:rPr>
                    <w:t>M0</w:t>
                  </w:r>
                </w:p>
              </w:tc>
              <w:tc>
                <w:tcPr>
                  <w:tcW w:type="dxa" w:w="1494"/>
                </w:tcPr>
                <w:p>
                  <w:pPr>
                    <w:jc w:val="center"/>
                  </w:pPr>
                  <w:r/>
                  <w:r>
                    <w:rPr>
                      <w:rFonts w:ascii="Times New Roman" w:hAnsi="Times New Roman" w:eastAsia="Times New Roman"/>
                      <w:b w:val="0"/>
                      <w:sz w:val="18"/>
                    </w:rPr>
                    <w:t>20</w:t>
                  </w:r>
                </w:p>
              </w:tc>
              <w:tc>
                <w:tcPr>
                  <w:tcW w:type="dxa" w:w="1494"/>
                </w:tcPr>
                <w:p>
                  <w:pPr>
                    <w:jc w:val="center"/>
                  </w:pPr>
                  <w:r/>
                  <w:r>
                    <w:rPr>
                      <w:rFonts w:ascii="Times New Roman" w:hAnsi="Times New Roman" w:eastAsia="Times New Roman"/>
                      <w:b w:val="0"/>
                      <w:sz w:val="18"/>
                    </w:rPr>
                    <w:t>4/20</w:t>
                  </w:r>
                </w:p>
              </w:tc>
              <w:tc>
                <w:tcPr>
                  <w:tcW w:type="dxa" w:w="1494"/>
                </w:tcPr>
                <w:p>
                  <w:pPr>
                    <w:jc w:val="center"/>
                  </w:pPr>
                  <w:r/>
                  <w:r>
                    <w:rPr>
                      <w:rFonts w:ascii="Times New Roman" w:hAnsi="Times New Roman" w:eastAsia="Times New Roman"/>
                      <w:b w:val="0"/>
                      <w:sz w:val="18"/>
                    </w:rPr>
                    <w:t>20/20</w:t>
                  </w:r>
                </w:p>
              </w:tc>
              <w:tc>
                <w:tcPr>
                  <w:tcW w:type="dxa" w:w="1494"/>
                </w:tcPr>
                <w:p>
                  <w:pPr>
                    <w:jc w:val="center"/>
                  </w:pPr>
                  <w:r/>
                  <w:r>
                    <w:rPr>
                      <w:rFonts w:ascii="Times New Roman" w:hAnsi="Times New Roman" w:eastAsia="Times New Roman"/>
                      <w:b w:val="0"/>
                      <w:sz w:val="18"/>
                    </w:rPr>
                    <w:t>44.6</w:t>
                  </w:r>
                </w:p>
              </w:tc>
              <w:tc>
                <w:tcPr>
                  <w:tcW w:type="dxa" w:w="1494"/>
                </w:tcPr>
                <w:p>
                  <w:pPr>
                    <w:jc w:val="center"/>
                  </w:pPr>
                  <w:r/>
                  <w:r>
                    <w:rPr>
                      <w:rFonts w:ascii="Times New Roman" w:hAnsi="Times New Roman" w:eastAsia="Times New Roman"/>
                      <w:b w:val="0"/>
                      <w:sz w:val="18"/>
                    </w:rPr>
                    <w:t>942</w:t>
                  </w:r>
                </w:p>
              </w:tc>
              <w:tc>
                <w:tcPr>
                  <w:tcW w:type="dxa" w:w="1494"/>
                </w:tcPr>
                <w:p>
                  <w:pPr>
                    <w:jc w:val="center"/>
                  </w:pPr>
                  <w:r/>
                  <w:r>
                    <w:rPr>
                      <w:rFonts w:ascii="Times New Roman" w:hAnsi="Times New Roman" w:eastAsia="Times New Roman"/>
                      <w:b w:val="0"/>
                      <w:sz w:val="18"/>
                    </w:rPr>
                    <w:t>1478.5</w:t>
                  </w:r>
                </w:p>
              </w:tc>
            </w:tr>
            <w:tr>
              <w:tc>
                <w:tcPr>
                  <w:tcW w:type="dxa" w:w="1494"/>
                </w:tcPr>
                <w:p>
                  <w:pPr>
                    <w:jc w:val="center"/>
                  </w:pPr>
                  <w:r/>
                  <w:r>
                    <w:rPr>
                      <w:rFonts w:ascii="Times New Roman" w:hAnsi="Times New Roman" w:eastAsia="Times New Roman"/>
                      <w:b w:val="0"/>
                      <w:sz w:val="18"/>
                    </w:rPr>
                    <w:t>PP</w:t>
                  </w:r>
                </w:p>
              </w:tc>
              <w:tc>
                <w:tcPr>
                  <w:tcW w:type="dxa" w:w="1494"/>
                </w:tcPr>
                <w:p>
                  <w:pPr>
                    <w:jc w:val="center"/>
                  </w:pPr>
                  <w:r/>
                  <w:r>
                    <w:rPr>
                      <w:rFonts w:ascii="Times New Roman" w:hAnsi="Times New Roman" w:eastAsia="Times New Roman"/>
                      <w:b w:val="0"/>
                      <w:sz w:val="18"/>
                    </w:rPr>
                    <w:t>20</w:t>
                  </w:r>
                </w:p>
              </w:tc>
              <w:tc>
                <w:tcPr>
                  <w:tcW w:type="dxa" w:w="1494"/>
                </w:tcPr>
                <w:p>
                  <w:pPr>
                    <w:jc w:val="center"/>
                  </w:pPr>
                  <w:r/>
                  <w:r>
                    <w:rPr>
                      <w:rFonts w:ascii="Times New Roman" w:hAnsi="Times New Roman" w:eastAsia="Times New Roman"/>
                      <w:b w:val="0"/>
                      <w:sz w:val="18"/>
                    </w:rPr>
                    <w:t>1/20</w:t>
                  </w:r>
                </w:p>
              </w:tc>
              <w:tc>
                <w:tcPr>
                  <w:tcW w:type="dxa" w:w="1494"/>
                </w:tcPr>
                <w:p>
                  <w:pPr>
                    <w:jc w:val="center"/>
                  </w:pPr>
                  <w:r/>
                  <w:r>
                    <w:rPr>
                      <w:rFonts w:ascii="Times New Roman" w:hAnsi="Times New Roman" w:eastAsia="Times New Roman"/>
                      <w:b w:val="0"/>
                      <w:sz w:val="18"/>
                    </w:rPr>
                    <w:t>7/20</w:t>
                  </w:r>
                </w:p>
              </w:tc>
              <w:tc>
                <w:tcPr>
                  <w:tcW w:type="dxa" w:w="1494"/>
                </w:tcPr>
                <w:p>
                  <w:pPr>
                    <w:jc w:val="center"/>
                  </w:pPr>
                  <w:r/>
                  <w:r>
                    <w:rPr>
                      <w:rFonts w:ascii="Times New Roman" w:hAnsi="Times New Roman" w:eastAsia="Times New Roman"/>
                      <w:b w:val="0"/>
                      <w:sz w:val="18"/>
                    </w:rPr>
                    <w:t>32.4</w:t>
                  </w:r>
                </w:p>
              </w:tc>
              <w:tc>
                <w:tcPr>
                  <w:tcW w:type="dxa" w:w="1494"/>
                </w:tcPr>
                <w:p>
                  <w:pPr>
                    <w:jc w:val="center"/>
                  </w:pPr>
                  <w:r/>
                  <w:r>
                    <w:rPr>
                      <w:rFonts w:ascii="Times New Roman" w:hAnsi="Times New Roman" w:eastAsia="Times New Roman"/>
                      <w:b w:val="0"/>
                      <w:sz w:val="18"/>
                    </w:rPr>
                    <w:t>848</w:t>
                  </w:r>
                </w:p>
              </w:tc>
              <w:tc>
                <w:tcPr>
                  <w:tcW w:type="dxa" w:w="1494"/>
                </w:tcPr>
                <w:p>
                  <w:pPr>
                    <w:jc w:val="center"/>
                  </w:pPr>
                  <w:r/>
                  <w:r>
                    <w:rPr>
                      <w:rFonts w:ascii="Times New Roman" w:hAnsi="Times New Roman" w:eastAsia="Times New Roman"/>
                      <w:b w:val="0"/>
                      <w:sz w:val="18"/>
                    </w:rPr>
                    <w:t>1716.1</w:t>
                  </w:r>
                </w:p>
              </w:tc>
            </w:tr>
            <w:tr>
              <w:tc>
                <w:tcPr>
                  <w:tcW w:type="dxa" w:w="1494"/>
                </w:tcPr>
                <w:p>
                  <w:pPr>
                    <w:jc w:val="center"/>
                  </w:pPr>
                  <w:r/>
                  <w:r>
                    <w:rPr>
                      <w:rFonts w:ascii="Times New Roman" w:hAnsi="Times New Roman" w:eastAsia="Times New Roman"/>
                      <w:b w:val="0"/>
                      <w:sz w:val="18"/>
                    </w:rPr>
                    <w:t>ECBS</w:t>
                  </w:r>
                </w:p>
              </w:tc>
              <w:tc>
                <w:tcPr>
                  <w:tcW w:type="dxa" w:w="1494"/>
                </w:tcPr>
                <w:p>
                  <w:pPr>
                    <w:jc w:val="center"/>
                  </w:pPr>
                  <w:r/>
                  <w:r>
                    <w:rPr>
                      <w:rFonts w:ascii="Times New Roman" w:hAnsi="Times New Roman" w:eastAsia="Times New Roman"/>
                      <w:b w:val="0"/>
                      <w:sz w:val="18"/>
                    </w:rPr>
                    <w:t>20</w:t>
                  </w:r>
                </w:p>
              </w:tc>
              <w:tc>
                <w:tcPr>
                  <w:tcW w:type="dxa" w:w="1494"/>
                </w:tcPr>
                <w:p>
                  <w:pPr>
                    <w:jc w:val="center"/>
                  </w:pPr>
                  <w:r/>
                  <w:r>
                    <w:rPr>
                      <w:rFonts w:ascii="Times New Roman" w:hAnsi="Times New Roman" w:eastAsia="Times New Roman"/>
                      <w:b w:val="0"/>
                      <w:sz w:val="18"/>
                    </w:rPr>
                    <w:t>20/20</w:t>
                  </w:r>
                </w:p>
              </w:tc>
              <w:tc>
                <w:tcPr>
                  <w:tcW w:type="dxa" w:w="1494"/>
                </w:tcPr>
                <w:p>
                  <w:pPr>
                    <w:jc w:val="center"/>
                  </w:pPr>
                  <w:r/>
                  <w:r>
                    <w:rPr>
                      <w:rFonts w:ascii="Times New Roman" w:hAnsi="Times New Roman" w:eastAsia="Times New Roman"/>
                      <w:b w:val="0"/>
                      <w:sz w:val="18"/>
                    </w:rPr>
                    <w:t>20/20</w:t>
                  </w:r>
                </w:p>
              </w:tc>
              <w:tc>
                <w:tcPr>
                  <w:tcW w:type="dxa" w:w="1494"/>
                </w:tcPr>
                <w:p>
                  <w:pPr>
                    <w:jc w:val="center"/>
                  </w:pPr>
                  <w:r/>
                  <w:r>
                    <w:rPr>
                      <w:rFonts w:ascii="Times New Roman" w:hAnsi="Times New Roman" w:eastAsia="Times New Roman"/>
                      <w:b w:val="0"/>
                      <w:sz w:val="18"/>
                    </w:rPr>
                    <w:t>100.0</w:t>
                  </w:r>
                </w:p>
              </w:tc>
              <w:tc>
                <w:tcPr>
                  <w:tcW w:type="dxa" w:w="1494"/>
                </w:tcPr>
                <w:p>
                  <w:pPr>
                    <w:jc w:val="center"/>
                  </w:pPr>
                  <w:r/>
                  <w:r>
                    <w:rPr>
                      <w:rFonts w:ascii="Times New Roman" w:hAnsi="Times New Roman" w:eastAsia="Times New Roman"/>
                      <w:b w:val="0"/>
                      <w:sz w:val="18"/>
                    </w:rPr>
                    <w:t>7364</w:t>
                  </w:r>
                </w:p>
              </w:tc>
              <w:tc>
                <w:tcPr>
                  <w:tcW w:type="dxa" w:w="1494"/>
                </w:tcPr>
                <w:p>
                  <w:pPr>
                    <w:jc w:val="center"/>
                  </w:pPr>
                  <w:r/>
                  <w:r>
                    <w:rPr>
                      <w:rFonts w:ascii="Times New Roman" w:hAnsi="Times New Roman" w:eastAsia="Times New Roman"/>
                      <w:b w:val="0"/>
                      <w:sz w:val="18"/>
                    </w:rPr>
                    <w:t>542.7</w:t>
                  </w:r>
                </w:p>
              </w:tc>
            </w:tr>
            <w:tr>
              <w:tc>
                <w:tcPr>
                  <w:tcW w:type="dxa" w:w="1494"/>
                </w:tcPr>
                <w:p>
                  <w:pPr>
                    <w:jc w:val="center"/>
                  </w:pPr>
                  <w:r/>
                  <w:r>
                    <w:rPr>
                      <w:rFonts w:ascii="Times New Roman" w:hAnsi="Times New Roman" w:eastAsia="Times New Roman"/>
                      <w:b w:val="0"/>
                      <w:sz w:val="18"/>
                    </w:rPr>
                    <w:t>Hier (ours)</w:t>
                  </w:r>
                </w:p>
              </w:tc>
              <w:tc>
                <w:tcPr>
                  <w:tcW w:type="dxa" w:w="1494"/>
                </w:tcPr>
                <w:p>
                  <w:pPr>
                    <w:jc w:val="center"/>
                  </w:pPr>
                  <w:r/>
                  <w:r>
                    <w:rPr>
                      <w:rFonts w:ascii="Times New Roman" w:hAnsi="Times New Roman" w:eastAsia="Times New Roman"/>
                      <w:b w:val="0"/>
                      <w:sz w:val="18"/>
                    </w:rPr>
                    <w:t>20</w:t>
                  </w:r>
                </w:p>
              </w:tc>
              <w:tc>
                <w:tcPr>
                  <w:tcW w:type="dxa" w:w="1494"/>
                </w:tcPr>
                <w:p>
                  <w:pPr>
                    <w:jc w:val="center"/>
                  </w:pPr>
                  <w:r/>
                  <w:r>
                    <w:rPr>
                      <w:rFonts w:ascii="Times New Roman" w:hAnsi="Times New Roman" w:eastAsia="Times New Roman"/>
                      <w:b w:val="0"/>
                      <w:sz w:val="18"/>
                    </w:rPr>
                    <w:t>20/20</w:t>
                  </w:r>
                </w:p>
              </w:tc>
              <w:tc>
                <w:tcPr>
                  <w:tcW w:type="dxa" w:w="1494"/>
                </w:tcPr>
                <w:p>
                  <w:pPr>
                    <w:jc w:val="center"/>
                  </w:pPr>
                  <w:r/>
                  <w:r>
                    <w:rPr>
                      <w:rFonts w:ascii="Times New Roman" w:hAnsi="Times New Roman" w:eastAsia="Times New Roman"/>
                      <w:b w:val="0"/>
                      <w:sz w:val="18"/>
                    </w:rPr>
                    <w:t>20/20</w:t>
                  </w:r>
                </w:p>
              </w:tc>
              <w:tc>
                <w:tcPr>
                  <w:tcW w:type="dxa" w:w="1494"/>
                </w:tcPr>
                <w:p>
                  <w:pPr>
                    <w:jc w:val="center"/>
                  </w:pPr>
                  <w:r/>
                  <w:r>
                    <w:rPr>
                      <w:rFonts w:ascii="Times New Roman" w:hAnsi="Times New Roman" w:eastAsia="Times New Roman"/>
                      <w:b w:val="0"/>
                      <w:sz w:val="18"/>
                    </w:rPr>
                    <w:t>100.0</w:t>
                  </w:r>
                </w:p>
              </w:tc>
              <w:tc>
                <w:tcPr>
                  <w:tcW w:type="dxa" w:w="1494"/>
                </w:tcPr>
                <w:p>
                  <w:pPr>
                    <w:jc w:val="center"/>
                  </w:pPr>
                  <w:r/>
                  <w:r>
                    <w:rPr>
                      <w:rFonts w:ascii="Times New Roman" w:hAnsi="Times New Roman" w:eastAsia="Times New Roman"/>
                      <w:b w:val="0"/>
                      <w:sz w:val="18"/>
                    </w:rPr>
                    <w:t>4616</w:t>
                  </w:r>
                </w:p>
              </w:tc>
              <w:tc>
                <w:tcPr>
                  <w:tcW w:type="dxa" w:w="1494"/>
                </w:tcPr>
                <w:p>
                  <w:pPr>
                    <w:jc w:val="center"/>
                  </w:pPr>
                  <w:r/>
                  <w:r>
                    <w:rPr>
                      <w:rFonts w:ascii="Times New Roman" w:hAnsi="Times New Roman" w:eastAsia="Times New Roman"/>
                      <w:b w:val="0"/>
                      <w:sz w:val="18"/>
                    </w:rPr>
                    <w:t>703.7</w:t>
                  </w:r>
                </w:p>
              </w:tc>
            </w:tr>
          </w:tbl>
          <w:p/>
          <w:p>
            <w:pPr>
              <w:spacing w:after="120"/>
            </w:pPr>
          </w:p>
          <w:p>
            <w:pPr>
              <w:spacing w:after="120" w:line="276" w:lineRule="auto"/>
              <w:ind w:firstLine="360"/>
              <w:jc w:val="both"/>
            </w:pPr>
            <w:r>
              <w:rPr>
                <w:rFonts w:ascii="Times New Roman" w:hAnsi="Times New Roman" w:eastAsia="Times New Roman"/>
                <w:b w:val="0"/>
                <w:sz w:val="22"/>
              </w:rPr>
              <w:t>Map-level notes. On easy SH01, M0 and Hier finish with low makespan (about 546-612 ticks), while PIBT and ECBS need about 2200 ticks. Priority planning finishes 100 tasks but fails FIFO checks. On narrow SH03, PIBT, M0, and priority planning complete at most five tasks, while ECBS and Hier both reach 100/100 and stay valid. On SH04, Hier stays close to M0 (670 vs 684) instead of paying the longer ECBS plan (4219). On dense SH11 and SH12, after the validity fixes, ECBS reaches 100/100 (makespan 18021 and 16981), and Hier matches completion with shorter makespan (4775 and 5220).</w:t>
            </w:r>
          </w:p>
          <w:p>
            <w:pPr>
              <w:spacing w:after="120" w:line="276" w:lineRule="auto"/>
              <w:ind w:firstLine="360"/>
              <w:jc w:val="both"/>
            </w:pPr>
            <w:r>
              <w:rPr>
                <w:rFonts w:ascii="Times New Roman" w:hAnsi="Times New Roman" w:eastAsia="Times New Roman"/>
                <w:b w:val="0"/>
                <w:sz w:val="22"/>
              </w:rPr>
              <w:t>Discussion. Reactive and local search lose throughput under congestion. Always-on ECBS is reliable but costly in simulation time. Hierarchical M0-first planning with StallEscalateNet handoff matches ECBS on completion and validity, while recovering much of M0's makespan on easier maps. SwapNet mainly helps M0 serve urgent tasks without an early ECBS call; it does not replace joint search on narrow maps. This is the main empirical finding of Progress Report 1.</w:t>
            </w:r>
          </w:p>
        </w:tc>
      </w:tr>
    </w:tbl>
    <w:p w14:paraId="710E96DB">
      <w:pPr>
        <w:autoSpaceDE w:val="0"/>
        <w:autoSpaceDN w:val="0"/>
        <w:adjustRightInd w:val="0"/>
        <w:spacing w:after="0" w:line="240" w:lineRule="auto"/>
        <w:rPr>
          <w:rFonts w:hint="eastAsia" w:ascii="Times New Roman" w:hAnsi="Times New Roman" w:cs="Times New Roman"/>
          <w:b/>
          <w:bCs/>
          <w:color w:val="000000"/>
          <w:sz w:val="24"/>
          <w:szCs w:val="24"/>
          <w:lang w:val="en-SG"/>
        </w:rPr>
      </w:pPr>
    </w:p>
    <w:p w14:paraId="5EF8552B">
      <w:pPr>
        <w:autoSpaceDE w:val="0"/>
        <w:autoSpaceDN w:val="0"/>
        <w:adjustRightInd w:val="0"/>
        <w:spacing w:after="0" w:line="240" w:lineRule="auto"/>
        <w:rPr>
          <w:rFonts w:ascii="Times New Roman" w:hAnsi="Times New Roman" w:cs="Times New Roman"/>
          <w:b/>
          <w:bCs/>
          <w:color w:val="000000"/>
          <w:sz w:val="24"/>
          <w:szCs w:val="24"/>
          <w:lang w:val="en-SG"/>
        </w:rPr>
      </w:pPr>
      <w:r>
        <w:rPr>
          <w:rFonts w:ascii="Times New Roman" w:hAnsi="Times New Roman" w:cs="Times New Roman"/>
          <w:b/>
          <w:bCs/>
          <w:color w:val="000000"/>
          <w:sz w:val="24"/>
          <w:szCs w:val="24"/>
          <w:lang w:val="en-SG"/>
        </w:rPr>
        <w:t>Conclusion: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33FC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spacing w:after="120" w:line="276" w:lineRule="auto"/>
              <w:ind w:firstLine="360"/>
              <w:jc w:val="both"/>
            </w:pPr>
            <w:r/>
            <w:r>
              <w:rPr>
                <w:rFonts w:ascii="Times New Roman" w:hAnsi="Times New Roman" w:eastAsia="Times New Roman"/>
                <w:b w:val="0"/>
                <w:sz w:val="22"/>
              </w:rPr>
              <w:t>So far we have built a hierarchical lifelong MAPD system with two online neural aides (SwapNet and StallEscalateNet), a windowed ECBS baseline with stronger validity checks, and a full SH01-20 comparison with 100 tasks per map. Gated M0-ECBS keeps 20/20 full completions with valid trajectories and reduces average makespan relative to always-on ECBS. For Progress Report 2 we plan to: (i) report aligned 400-task stress results on the same maps; (ii) ablate SwapNet and StallEscalateNet more carefully; (iii) relate handoff timing to map structure; and (iv) study remaining high wall-time cases.</w:t>
            </w:r>
          </w:p>
        </w:tc>
      </w:tr>
    </w:tbl>
    <w:p w14:paraId="6549F8E7">
      <w:pPr>
        <w:autoSpaceDE w:val="0"/>
        <w:autoSpaceDN w:val="0"/>
        <w:adjustRightInd w:val="0"/>
        <w:spacing w:after="0" w:line="240" w:lineRule="auto"/>
        <w:rPr>
          <w:rFonts w:hint="eastAsia" w:ascii="Times New Roman" w:hAnsi="Times New Roman" w:cs="Times New Roman"/>
          <w:b/>
          <w:bCs/>
          <w:color w:val="000000"/>
          <w:sz w:val="24"/>
          <w:szCs w:val="24"/>
          <w:lang w:val="en-SG"/>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B6F"/>
    <w:rsid w:val="00012C18"/>
    <w:rsid w:val="00021527"/>
    <w:rsid w:val="00054E89"/>
    <w:rsid w:val="00060EA0"/>
    <w:rsid w:val="00095055"/>
    <w:rsid w:val="000B17A6"/>
    <w:rsid w:val="000B3FAE"/>
    <w:rsid w:val="000C3220"/>
    <w:rsid w:val="000F546F"/>
    <w:rsid w:val="00104284"/>
    <w:rsid w:val="00137AB7"/>
    <w:rsid w:val="00184A35"/>
    <w:rsid w:val="001926EB"/>
    <w:rsid w:val="001A2450"/>
    <w:rsid w:val="001D2BE5"/>
    <w:rsid w:val="001F78C0"/>
    <w:rsid w:val="00201FE8"/>
    <w:rsid w:val="00203BA0"/>
    <w:rsid w:val="00205736"/>
    <w:rsid w:val="002101DC"/>
    <w:rsid w:val="00260132"/>
    <w:rsid w:val="0026411D"/>
    <w:rsid w:val="002A2BE8"/>
    <w:rsid w:val="002A319C"/>
    <w:rsid w:val="002A3B0E"/>
    <w:rsid w:val="002B30E9"/>
    <w:rsid w:val="002D01C9"/>
    <w:rsid w:val="003015B5"/>
    <w:rsid w:val="003269A0"/>
    <w:rsid w:val="00342218"/>
    <w:rsid w:val="00377FD3"/>
    <w:rsid w:val="00387296"/>
    <w:rsid w:val="003E6A5F"/>
    <w:rsid w:val="004022CF"/>
    <w:rsid w:val="00405CAD"/>
    <w:rsid w:val="00425862"/>
    <w:rsid w:val="00443063"/>
    <w:rsid w:val="0044702E"/>
    <w:rsid w:val="00450C4D"/>
    <w:rsid w:val="0046351F"/>
    <w:rsid w:val="0046550F"/>
    <w:rsid w:val="00480564"/>
    <w:rsid w:val="0048335A"/>
    <w:rsid w:val="00486E82"/>
    <w:rsid w:val="004909A4"/>
    <w:rsid w:val="00491757"/>
    <w:rsid w:val="00492114"/>
    <w:rsid w:val="00494368"/>
    <w:rsid w:val="004A59F4"/>
    <w:rsid w:val="004D39B1"/>
    <w:rsid w:val="004E1A68"/>
    <w:rsid w:val="004E30FA"/>
    <w:rsid w:val="004F037D"/>
    <w:rsid w:val="00507189"/>
    <w:rsid w:val="00523F42"/>
    <w:rsid w:val="00533FAF"/>
    <w:rsid w:val="005356D3"/>
    <w:rsid w:val="0055186E"/>
    <w:rsid w:val="005A29BF"/>
    <w:rsid w:val="005A6ACE"/>
    <w:rsid w:val="005B2711"/>
    <w:rsid w:val="005B4D7B"/>
    <w:rsid w:val="005C55C9"/>
    <w:rsid w:val="005F1C4F"/>
    <w:rsid w:val="00605B6F"/>
    <w:rsid w:val="00643B42"/>
    <w:rsid w:val="00670BAF"/>
    <w:rsid w:val="00684196"/>
    <w:rsid w:val="006B583D"/>
    <w:rsid w:val="006D44A1"/>
    <w:rsid w:val="006D6410"/>
    <w:rsid w:val="006F348C"/>
    <w:rsid w:val="007011C2"/>
    <w:rsid w:val="00702E18"/>
    <w:rsid w:val="00703297"/>
    <w:rsid w:val="00737EDF"/>
    <w:rsid w:val="00770DDD"/>
    <w:rsid w:val="00774FEC"/>
    <w:rsid w:val="007A1EA6"/>
    <w:rsid w:val="007A7E3B"/>
    <w:rsid w:val="007C72CA"/>
    <w:rsid w:val="007D3577"/>
    <w:rsid w:val="007E4006"/>
    <w:rsid w:val="007F26BE"/>
    <w:rsid w:val="007F7760"/>
    <w:rsid w:val="00837299"/>
    <w:rsid w:val="00843BAE"/>
    <w:rsid w:val="00855FB2"/>
    <w:rsid w:val="0086282F"/>
    <w:rsid w:val="008B5E27"/>
    <w:rsid w:val="008C6FC1"/>
    <w:rsid w:val="008C7995"/>
    <w:rsid w:val="00906199"/>
    <w:rsid w:val="0093687F"/>
    <w:rsid w:val="00945425"/>
    <w:rsid w:val="00964521"/>
    <w:rsid w:val="00972D93"/>
    <w:rsid w:val="00976BAE"/>
    <w:rsid w:val="00995039"/>
    <w:rsid w:val="009A258A"/>
    <w:rsid w:val="009B628A"/>
    <w:rsid w:val="009C63D9"/>
    <w:rsid w:val="009D1222"/>
    <w:rsid w:val="009D5053"/>
    <w:rsid w:val="009E70B4"/>
    <w:rsid w:val="00A07F53"/>
    <w:rsid w:val="00A272CA"/>
    <w:rsid w:val="00A4234F"/>
    <w:rsid w:val="00A4378B"/>
    <w:rsid w:val="00A45F75"/>
    <w:rsid w:val="00A47DA9"/>
    <w:rsid w:val="00A74D34"/>
    <w:rsid w:val="00A844F8"/>
    <w:rsid w:val="00A916A0"/>
    <w:rsid w:val="00A9462C"/>
    <w:rsid w:val="00A95426"/>
    <w:rsid w:val="00AB648C"/>
    <w:rsid w:val="00AB6713"/>
    <w:rsid w:val="00AB6DB6"/>
    <w:rsid w:val="00AE7750"/>
    <w:rsid w:val="00AE7BDA"/>
    <w:rsid w:val="00B26639"/>
    <w:rsid w:val="00B33E42"/>
    <w:rsid w:val="00B37FC8"/>
    <w:rsid w:val="00B73144"/>
    <w:rsid w:val="00B73F9E"/>
    <w:rsid w:val="00B84DDC"/>
    <w:rsid w:val="00B93776"/>
    <w:rsid w:val="00BA5A2C"/>
    <w:rsid w:val="00BA6B2C"/>
    <w:rsid w:val="00BE2295"/>
    <w:rsid w:val="00BF1342"/>
    <w:rsid w:val="00C1101F"/>
    <w:rsid w:val="00C300BD"/>
    <w:rsid w:val="00C424E1"/>
    <w:rsid w:val="00C5172C"/>
    <w:rsid w:val="00C747F7"/>
    <w:rsid w:val="00C937F7"/>
    <w:rsid w:val="00CA20F1"/>
    <w:rsid w:val="00CC0166"/>
    <w:rsid w:val="00CC19DE"/>
    <w:rsid w:val="00CE227D"/>
    <w:rsid w:val="00D34526"/>
    <w:rsid w:val="00D4323A"/>
    <w:rsid w:val="00D70211"/>
    <w:rsid w:val="00D77E3D"/>
    <w:rsid w:val="00DB3A1A"/>
    <w:rsid w:val="00DD273A"/>
    <w:rsid w:val="00E15861"/>
    <w:rsid w:val="00E358E0"/>
    <w:rsid w:val="00E952D7"/>
    <w:rsid w:val="00EA086C"/>
    <w:rsid w:val="00EA14B2"/>
    <w:rsid w:val="00EB2144"/>
    <w:rsid w:val="00EB7AB6"/>
    <w:rsid w:val="00ED15E4"/>
    <w:rsid w:val="00EF4415"/>
    <w:rsid w:val="00EF51EC"/>
    <w:rsid w:val="00F07422"/>
    <w:rsid w:val="00F170BD"/>
    <w:rsid w:val="00F172CD"/>
    <w:rsid w:val="00F37C2D"/>
    <w:rsid w:val="00F627E8"/>
    <w:rsid w:val="00FA325B"/>
    <w:rsid w:val="00FB61FE"/>
    <w:rsid w:val="00FB716E"/>
    <w:rsid w:val="00FC4BAD"/>
    <w:rsid w:val="752D6A4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character" w:default="1" w:styleId="7">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uiPriority w:val="99"/>
    <w:pPr>
      <w:spacing w:after="0" w:line="240" w:lineRule="auto"/>
    </w:pPr>
    <w:rPr>
      <w:rFonts w:ascii="Tahoma" w:hAnsi="Tahoma" w:cs="Tahoma"/>
      <w:sz w:val="16"/>
      <w:szCs w:val="16"/>
    </w:rPr>
  </w:style>
  <w:style w:type="paragraph" w:styleId="3">
    <w:name w:val="footer"/>
    <w:basedOn w:val="1"/>
    <w:link w:val="12"/>
    <w:unhideWhenUsed/>
    <w:qFormat/>
    <w:uiPriority w:val="99"/>
    <w:pPr>
      <w:tabs>
        <w:tab w:val="center" w:pos="4320"/>
        <w:tab w:val="right" w:pos="8640"/>
      </w:tabs>
      <w:spacing w:after="0" w:line="240" w:lineRule="auto"/>
    </w:pPr>
  </w:style>
  <w:style w:type="paragraph" w:styleId="4">
    <w:name w:val="header"/>
    <w:basedOn w:val="1"/>
    <w:link w:val="11"/>
    <w:unhideWhenUsed/>
    <w:qFormat/>
    <w:uiPriority w:val="99"/>
    <w:pPr>
      <w:tabs>
        <w:tab w:val="center" w:pos="4320"/>
        <w:tab w:val="right" w:pos="8640"/>
      </w:tabs>
      <w:spacing w:after="0" w:line="240" w:lineRule="auto"/>
    </w:pPr>
  </w:style>
  <w:style w:type="table" w:styleId="6">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themeColor="hyperlink"/>
      <w:u w:val="single"/>
      <w14:textFill>
        <w14:solidFill>
          <w14:schemeClr w14:val="hlink"/>
        </w14:solidFill>
      </w14:textFill>
    </w:rPr>
  </w:style>
  <w:style w:type="paragraph" w:styleId="9">
    <w:name w:val="List Paragraph"/>
    <w:basedOn w:val="1"/>
    <w:qFormat/>
    <w:uiPriority w:val="34"/>
    <w:pPr>
      <w:ind w:left="720"/>
      <w:contextualSpacing/>
    </w:pPr>
  </w:style>
  <w:style w:type="character" w:customStyle="1" w:styleId="10">
    <w:name w:val="Balloon Text Char"/>
    <w:basedOn w:val="7"/>
    <w:link w:val="2"/>
    <w:semiHidden/>
    <w:uiPriority w:val="99"/>
    <w:rPr>
      <w:rFonts w:ascii="Tahoma" w:hAnsi="Tahoma" w:cs="Tahoma"/>
      <w:sz w:val="16"/>
      <w:szCs w:val="16"/>
      <w:lang w:val="en-US"/>
    </w:rPr>
  </w:style>
  <w:style w:type="character" w:customStyle="1" w:styleId="11">
    <w:name w:val="Header Char"/>
    <w:basedOn w:val="7"/>
    <w:link w:val="4"/>
    <w:uiPriority w:val="99"/>
    <w:rPr>
      <w:lang w:val="en-US"/>
    </w:rPr>
  </w:style>
  <w:style w:type="character" w:customStyle="1" w:styleId="12">
    <w:name w:val="Footer Char"/>
    <w:basedOn w:val="7"/>
    <w:link w:val="3"/>
    <w:qFormat/>
    <w:uiPriority w:val="99"/>
    <w:rPr>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BB029F-A0C4-4FE7-9A23-53F7E0FB609D}">
  <ds:schemaRefs/>
</ds:datastoreItem>
</file>

<file path=docProps/app.xml><?xml version="1.0" encoding="utf-8"?>
<Properties xmlns="http://schemas.openxmlformats.org/officeDocument/2006/extended-properties" xmlns:vt="http://schemas.openxmlformats.org/officeDocument/2006/docPropsVTypes">
  <Template>Normal</Template>
  <Company>University of Macau</Company>
  <Pages>3</Pages>
  <Words>1155</Words>
  <Characters>6837</Characters>
  <Lines>2</Lines>
  <Paragraphs>1</Paragraphs>
  <TotalTime>46</TotalTime>
  <ScaleCrop>false</ScaleCrop>
  <LinksUpToDate>false</LinksUpToDate>
  <CharactersWithSpaces>7923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2026-09-17T03:07:00Z</dcterms:created>
  <dc:creator>David</dc:creator>
  <cp:lastModifiedBy>℡曾凯博⁶₆6</cp:lastModifiedBy>
  <cp:lastPrinted>2014-12-31T07:29:00Z</cp:lastPrinted>
  <dcterms:modified xsi:type="dcterms:W3CDTF">2026-09-28T03:38:14Z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eyJoZGlkIjoiYWQ1ZjI5ODE0N2VjZmI4YWFiZmY1Y2RmNzhhYmUxM2YiLCJ1c2VySWQiOiIyOTczNDQ3NzIifQ==</vt:lpwstr>
  </property>
  <property fmtid="{D5CDD505-2E9C-101B-9397-08002B2CF9AE}" pid="3" name="KSOProductBuildVer">
    <vt:lpwstr>2052-12.1.0.24657</vt:lpwstr>
  </property>
  <property fmtid="{D5CDD505-2E9C-101B-9397-08002B2CF9AE}" pid="4" name="ICV">
    <vt:lpwstr>37CC18FFB4E44C02800AC546A0195F36_12</vt:lpwstr>
  </property>
</Properties>
</file>