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激光雷达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1-li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所属实验室：机器人创新实验室（工程训练中心B区105）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数据库规格：Livox Mid-360｜数量：5台/套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激光雷达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机器人创新实验室（数据库ID 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工程训练中心B区105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Livox Mid-360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用于SLAM建图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本设备主要用于：用于SLAM建图。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SLAM建图、机器人感知、三维环境扫描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确认已在AI智能实验室预约系统预约成功，且预约时段位于实验室开放时间（08:00—19:00）内；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携带校园卡完成到场签到；首次使用激光雷达须已完成对应的准入培训；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安装到机器人/支架→连接网线→确认供电→查看点云预览。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录制数据前校准时间戳；室内建图避免玻璃反射干扰；数据实时落盘到车载计算盒。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停止录制→导出rosbag/点云文件→断电拆卸→归位登记。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通电时用手触摸激光发射窗口。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故障1：点云缺失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排查方法：检查网线与供电；确认视场无强反射/全黑区域。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故障2：时间戳不同步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排查方法：启用PTP/NTP对时；检查主机网卡支持。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同步电话通知值班台（虚构示例：0731-88880003，内部短号 0003）；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镜头窗口气吹清洁；每学期做一次外参复核。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上电后不直视发射窗口；拆卸先断电。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13、公开技术资料说明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视场角与非重复扫描特性依据 Livox Mid-360 官方资料整理（来源：Livox官网产品页，访问日期2026-10）；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数据库登记规格为“Livox Mid-360”，数量5台；驱动与SDK版本由实验室统一维护。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1-li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首次发布；规格、数量、状态取自2026-10-20数据库快照；含公开技术资料来源标注。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智能实验中心｜激光雷达操作手册｜V1.0｜2026-10-20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