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虚拟化服务器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操作手册（AI智能实验室预约系统配套资料）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5-vi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所属实验室：云计算实验室（数据中心D区305）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数据库规格：双路CPU / 512G内存｜数量：6台/套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虚拟化服务器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云计算实验室（数据库ID 7）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数据中心D区305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双路CPU / 512G内存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运行虚拟机和私有云节点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操作手册（复杂/高风险设备）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本设备主要用于：运行虚拟机和私有云节点。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虚拟化技术教学、私有云搭建实验、VM生命周期管理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确认已在AI智能实验室预约系统预约成功，且预约时段位于实验室开放时间（08:30—21:00）内；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携带校园卡完成到场签到；首次使用虚拟化服务器须已完成对应的准入培训；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登录管理平台→选择宿主机资源池→按配额创建虚拟机。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镜像使用统一模板库；资源超配前评估宿主机负载；快照在重大变更前创建。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实验完删除临时VM→保留必要快照→释放资源→退出。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超配资源导致宿主机宕机。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故障1：VM无法启动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排查方法：检查存储池空间；确认网络标签存在。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故障2：宿主机告警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排查方法：报告管理员并迁移VM；禁止物理断电。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同步电话通知值班台（虚构示例：0731-88880007，内部短号 0007）；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每月宿主机健康巡检；模板库每季度更新。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禁止操作非本人租户的VM；宿主机底层由管理员管理。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13、账号与资源边界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使用分配的租户账号登录，管理员权限仅限助教与运维组；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单VM默认上限16vCPU/64G/1TB；超过需教师审批；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禁止在VM内运行挖矿、对外服务等非教学负载。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5-vi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智能实验中心｜虚拟化服务器操作手册｜V1.0｜2026-10-20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