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图形工作站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3-ws-gf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所属实验室：数字媒体实验室（艺术楼F区108）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数据库规格：i9 / 64G / RTX4080｜数量：16台/套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图形工作站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数字媒体实验室（数据库ID 12）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艺术楼F区108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i9 / 64G / RTX4080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用于三维建模和视频渲染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本设备主要用于：用于三维建模和视频渲染。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三维建模、视频剪辑渲染、交互媒体制作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确认已在AI智能实验室预约系统预约成功，且预约时段位于实验室开放时间（09:30—18:00）内；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携带校园卡完成到场签到；首次使用图形工作站须已完成对应的准入培训；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按工位登录→加载项目工程（存共享盘）→设置渲染输出路径。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渲染任务提交队列或离机渲染；GPU长任务设检查点；工程文件命名规范。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成片导出到共享盘→清理缓存→锁屏注销→登记。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本地渲染跑满GPU导致过热死机。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故障1：渲染中断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排查方法：检查显存占用；降低分辨率分层渲染。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故障2：软件崩溃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排查方法：开启自动保存；恢复最近工程副本。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同步电话通知值班台（虚构示例：0731-88880012，内部短号 0012）；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每月GPU驱动评估更新；工作站除尘每季度。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渲染时注意机箱温度；素材授权见《摄影摄像和个人信息保护规范》。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3-ws-gf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智能实验中心｜图形工作站快速使用指南｜V1.0｜2026-10-20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