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专业摄像机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5-camc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所属实验室：数字媒体实验室（艺术楼F区108）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数据库规格：4K摄像机｜数量：4台/套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专业摄像机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数字媒体实验室（数据库ID 12）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艺术楼F区108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4K摄像机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用于高清视频拍摄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本设备主要用于：用于高清视频拍摄。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课程视频拍摄、校园活动记录、毕业作品创作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确认已在AI智能实验室预约系统预约成功，且预约时段位于实验室开放时间（09:30—18:00）内；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携带校园卡完成到场签到；首次使用专业摄像机须已完成对应的准入培训；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检查电池与存储卡容量→装三脚架固定→白平衡试拍。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录制前确认音频通道；素材实时双备份；移动拍摄理顺线缆。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导出素材→格式化存储卡前确认备份→电池充电→归还登记。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手持奔跑拍摄摔机，素材不备份。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故障1：无法开机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排查方法：换电池试；检查电池仓触点。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故障2：卡顿丢帧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排查方法：使用认证高速卡；降低录制码率。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同步电话通知值班台（虚构示例：0731-88880012，内部短号 0012）；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每学期镜头清洁与传感器除尘（管理员执行）；固件按厂商发布评估。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灯架/三脚架配重固定；拍摄他人须签署肖像与声音授权。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13、隐私与素材授权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凡可识别个人身份的影像、声音，拍摄前必须取得当事人书面（含电子）授权；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课堂实录仅用于教学存档，公开发布需再次取得授权；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素材含他人信息外传前按《摄影摄像和个人信息保护规范》脱敏。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5-camc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智能实验中心｜专业摄像机快速使用指南｜V1.0｜2026-10-20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