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14-高性能计算设备使用规范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适用于GPU训练服务器（双RTX4090/128G）、推理服务器（A10 24G/128G）、数据计算节点（32核/128G×8）、虚拟化服务器（双路CPU/512G）、容器集群节点（32核/128G×10）、代码服务器（16核/64G）及攻防靶机服务器。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账号与队列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使用个人账号经调度平台提交任务，禁止直连节点抢占；任务按队列排队，禁止绕过调度。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账号不得共享；离机锁屏；管理员操作全程留痕。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散热与机房纪律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禁止遮挡机柜进出风道；发现温度告警立即停止任务；机柜区内禁止堆放物品与长时间停留。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数据规则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训练与作业数据统一写入存储阵列/存储节点；重要结果自行备份；禁止在本地盘长期占用空间。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智能实验中心｜14-高性能计算设备使用规范｜V1.0｜2026-10-20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