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机学视角下交易系统的状态—交互—约束建模与运行时决策框架</w:t>
      </w:r>
    </w:p>
    <w:p>
      <w:pPr>
        <w:jc w:val="center"/>
      </w:pPr>
      <w:r>
        <w:rPr>
          <w:rFonts w:ascii="宋体" w:hAnsi="宋体" w:eastAsia="宋体"/>
          <w:b/>
          <w:sz w:val="21"/>
        </w:rPr>
        <w:t>张楷明</w:t>
      </w:r>
      <w:r>
        <w:rPr>
          <w:rFonts w:ascii="宋体" w:hAnsi="宋体" w:eastAsia="宋体"/>
          <w:sz w:val="21"/>
        </w:rPr>
        <w:br/>
        <w:t>中国系统工程学会</w:t>
      </w:r>
    </w:p>
    <w:p>
      <w:pPr>
        <w:pStyle w:val="Heading1"/>
      </w:pPr>
      <w:r>
        <w:t>摘要</w:t>
      </w:r>
    </w:p>
    <w:p>
      <w:r>
        <w:t>金融市场是典型的多主体、强反馈、非平稳和约束密集型复杂动态系统。传统交易研究往往把价格预测作为中心问题，但真实市场运行还涉及流动性、订单流、参与者异质性、风险规则、资金条件、执行环境和反馈更新。本文提出一种机学视角下的交易系统结构化建模框架，将市场表示为J=(S,M,I,C)，并在此基础上构建面向持续运行的Trading Runtime。</w:t>
        <w:br/>
        <w:br/>
        <w:t>其中，S表示市场在特定时间尺度上的状态，可由价格、成交量、波动、流动性、持仓和市场状态等信息组成；M表示做市商、机构、散户、高频交易者、套利者等不同参与者模块；I表示订单流、买卖行为、信息冲击、撮合以及主体间反馈形成的交互机制；C表示资金、仓位、杠杆、流动性、风险控制、交易制度和执行条件等约束。由此，交易不再被简化为“信号→订单”，而被表示为“状态识别→交互识别→状态更新→约束过滤→决策→执行→反馈→新状态”的持续闭环。</w:t>
        <w:br/>
        <w:br/>
        <w:t>在工程实现上，提出State Engine、Interaction Engine、Constraint Engine、Decision Engine、Execution Layer和Feedback Layer六类核心组件。State Engine负责形成可更新的市场状态表示；Interaction Engine负责识别订单流、事件和主体行为；Constraint Engine把风险、资金和制度边界显式化；Decision Engine在当前状态和约束下选择可执行行动；Execution Layer连接模拟、纸面或真实执行；Feedback Layer将交易结果、模型误差和环境变化回写系统。该架构的关键不是预先假定某一种算法，而是先固定系统结构，再按具体任务选择时序模型、图模型、Transformer、强化学习或Agent方法作为工具。</w:t>
        <w:br/>
        <w:br/>
        <w:t>本文进一步提出以“可持续运行能力”而非单次预测精度作为交易系统工程化目标，重点关注状态覆盖度、样本外稳定性、约束违规率、风险、执行质量、延迟、失败率和模型漂移。交易市场在此被定位为机学进入真实复杂动态系统的高频实验场，而非已经完成因果验证的终点。本文为从静态价格预测转向动态市场状态管理提供一种系统工程路径，并为后续构建Jiology Trading Runtime与System Intelligence Layer提供结构基础。</w:t>
      </w:r>
    </w:p>
    <w:p>
      <w:pPr>
        <w:pStyle w:val="Heading1"/>
      </w:pPr>
      <w:r>
        <w:t>关键词</w:t>
      </w:r>
    </w:p>
    <w:p>
      <w:r>
        <w:t>金融系统；交易系统；机学；状态建模；订单流；约束决策；Trading Runtime；系统智能</w:t>
      </w:r>
    </w:p>
    <w:sectPr w:rsidR="00FC693F" w:rsidRPr="0006063C" w:rsidSect="00034616">
      <w:pgSz w:w="12240" w:h="15840"/>
      <w:pgMar w:top="1020" w:right="1361" w:bottom="1020"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0"/>
    </w:pPr>
    <w:rPr>
      <w:rFonts w:ascii="宋体" w:hAnsi="宋体" w:eastAsia="宋体"/>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黑体" w:hAnsi="黑体" w:eastAsia="黑体"/>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黑体" w:hAnsi="黑体" w:eastAsia="黑体"/>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