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720" w:after="160"/>
        <w:jc w:val="left"/>
      </w:pPr>
      <w:r>
        <w:rPr>
          <w:rFonts w:ascii="Arial" w:hAnsi="Arial"/>
          <w:b/>
          <w:i w:val="0"/>
          <w:color w:val="000000"/>
          <w:sz w:val="48"/>
        </w:rPr>
        <w:t>DentalMatch Capstone Backlog Jira y Plan de Hitos</w:t>
      </w:r>
    </w:p>
    <w:p>
      <w:pPr>
        <w:spacing w:after="400"/>
      </w:pPr>
      <w:r>
        <w:rPr>
          <w:rFonts w:ascii="Arial" w:hAnsi="Arial"/>
          <w:b w:val="0"/>
          <w:i w:val="0"/>
          <w:color w:val="595959"/>
          <w:sz w:val="26"/>
        </w:rPr>
        <w:t>Plan académico y operativo para 18 semanas</w:t>
      </w:r>
    </w:p>
    <w:p>
      <w:pPr>
        <w:spacing w:before="0" w:after="120" w:line="269" w:lineRule="auto"/>
      </w:pPr>
      <w:r>
        <w:rPr>
          <w:rFonts w:ascii="Arial" w:hAnsi="Arial"/>
          <w:b w:val="0"/>
          <w:i w:val="0"/>
          <w:color w:val="202020"/>
          <w:sz w:val="20"/>
        </w:rPr>
        <w:t>Documento preparado como planificación inicial para Jira y como guía de traspaso al repositorio DentalMatch Capstone.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262626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79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262626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8"/>
              </w:rPr>
              <w:t>Producto</w:t>
            </w:r>
          </w:p>
        </w:tc>
        <w:tc>
          <w:tcPr>
            <w:tcW w:type="dxa" w:w="79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8"/>
              </w:rPr>
              <w:t>DentalMatch Capstone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8"/>
              </w:rPr>
              <w:t>Duración</w:t>
            </w:r>
          </w:p>
        </w:tc>
        <w:tc>
          <w:tcPr>
            <w:tcW w:type="dxa" w:w="79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8"/>
              </w:rPr>
              <w:t>18 semanas · 9 sprints de 2 semanas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8"/>
              </w:rPr>
              <w:t>Usuarios</w:t>
            </w:r>
          </w:p>
        </w:tc>
        <w:tc>
          <w:tcPr>
            <w:tcW w:type="dxa" w:w="79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8"/>
              </w:rPr>
              <w:t>Pacientes, estudiantes, coordinadores y administradores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8"/>
              </w:rPr>
              <w:t>Estado del plan</w:t>
            </w:r>
          </w:p>
        </w:tc>
        <w:tc>
          <w:tcPr>
            <w:tcW w:type="dxa" w:w="79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8"/>
              </w:rPr>
              <w:t>Por iniciar; desarrollo previsto en 9 sprints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8"/>
              </w:rPr>
              <w:t>Formato de seguimiento</w:t>
            </w:r>
          </w:p>
        </w:tc>
        <w:tc>
          <w:tcPr>
            <w:tcW w:type="dxa" w:w="79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8"/>
              </w:rPr>
              <w:t>Épicas, historias, tareas, hitos y criterios de aceptación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60" w:after="100"/>
      </w:pPr>
      <w:r>
        <w:rPr>
          <w:rFonts w:ascii="Arial" w:hAnsi="Arial"/>
          <w:b/>
          <w:i w:val="0"/>
          <w:color w:val="000000"/>
          <w:sz w:val="28"/>
        </w:rPr>
        <w:t>Resumen ejecutivo</w:t>
      </w:r>
    </w:p>
    <w:p>
      <w:pPr>
        <w:spacing w:before="0" w:after="120" w:line="269" w:lineRule="auto"/>
      </w:pPr>
      <w:r>
        <w:rPr>
          <w:rFonts w:ascii="Arial" w:hAnsi="Arial"/>
          <w:b w:val="0"/>
          <w:i w:val="0"/>
          <w:color w:val="202020"/>
          <w:sz w:val="20"/>
        </w:rPr>
        <w:t>DentalMatch conectará casos odontológicos con estudiantes que tengan una especialidad, disponibilidad y capacidad compatibles. El flujo central se desarrollará mediante intake del paciente, pre-categorización asistida, matching determinista, asignación trazable y seguimiento operativo.</w:t>
      </w:r>
    </w:p>
    <w:p>
      <w:pPr>
        <w:pStyle w:val="ListBullet"/>
        <w:spacing w:after="40" w:line="252" w:lineRule="auto"/>
        <w:ind w:left="288"/>
      </w:pPr>
      <w:r>
        <w:rPr>
          <w:rFonts w:ascii="Arial" w:hAnsi="Arial"/>
          <w:b w:val="0"/>
          <w:i w:val="0"/>
          <w:color w:val="202020"/>
          <w:sz w:val="19"/>
        </w:rPr>
        <w:t>La IA solo pre-categoriza respuestas y tiene fallback determinista; no decide el estudiante.</w:t>
      </w:r>
    </w:p>
    <w:p>
      <w:pPr>
        <w:pStyle w:val="ListBullet"/>
        <w:spacing w:after="40" w:line="252" w:lineRule="auto"/>
        <w:ind w:left="288"/>
      </w:pPr>
      <w:r>
        <w:rPr>
          <w:rFonts w:ascii="Arial" w:hAnsi="Arial"/>
          <w:b w:val="0"/>
          <w:i w:val="0"/>
          <w:color w:val="202020"/>
          <w:sz w:val="19"/>
        </w:rPr>
        <w:t>El matching usa filtros duros y seis factores ponderados: horario, especialidad, carga, prioridad, dolor y experiencia.</w:t>
      </w:r>
    </w:p>
    <w:p>
      <w:pPr>
        <w:pStyle w:val="ListBullet"/>
        <w:spacing w:after="40" w:line="252" w:lineRule="auto"/>
        <w:ind w:left="288"/>
      </w:pPr>
      <w:r>
        <w:rPr>
          <w:rFonts w:ascii="Arial" w:hAnsi="Arial"/>
          <w:b w:val="0"/>
          <w:i w:val="0"/>
          <w:color w:val="202020"/>
          <w:sz w:val="19"/>
        </w:rPr>
        <w:t>El backlog contempla como trabajo el worker de correo, CI/CD, backup, observabilidad y cierre formal de producción.</w:t>
      </w:r>
    </w:p>
    <w:p>
      <w:r>
        <w:br w:type="page"/>
      </w:r>
    </w:p>
    <w:p>
      <w:pPr>
        <w:pStyle w:val="Heading1"/>
        <w:keepNext/>
        <w:spacing w:before="260" w:after="100"/>
      </w:pPr>
      <w:r>
        <w:rPr>
          <w:rFonts w:ascii="Arial" w:hAnsi="Arial"/>
          <w:b/>
          <w:i w:val="0"/>
          <w:color w:val="000000"/>
          <w:sz w:val="28"/>
        </w:rPr>
        <w:t>1 Alcance del producto</w:t>
      </w:r>
    </w:p>
    <w:p>
      <w:pPr>
        <w:pStyle w:val="Heading2"/>
        <w:keepNext/>
        <w:spacing w:before="180" w:after="100"/>
      </w:pPr>
      <w:r>
        <w:rPr>
          <w:rFonts w:ascii="Arial" w:hAnsi="Arial"/>
          <w:b/>
          <w:i w:val="0"/>
          <w:color w:val="000000"/>
          <w:sz w:val="22"/>
        </w:rPr>
        <w:t>Usuarios y necesidades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65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262626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Usuario</w:t>
            </w:r>
          </w:p>
        </w:tc>
        <w:tc>
          <w:tcPr>
            <w:tcW w:type="dxa" w:w="51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262626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Necesidad principal</w:t>
            </w:r>
          </w:p>
        </w:tc>
        <w:tc>
          <w:tcPr>
            <w:tcW w:type="dxa" w:w="33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262626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Superficie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7"/>
              </w:rPr>
              <w:t>Paciente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7"/>
              </w:rPr>
              <w:t>Registrar un caso, recibir número de caso y saber si queda asignado o pendiente</w:t>
            </w:r>
          </w:p>
        </w:tc>
        <w:tc>
          <w:tcPr>
            <w:tcW w:type="dxa" w:w="33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7"/>
              </w:rPr>
              <w:t>Landing e intake público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7"/>
              </w:rPr>
              <w:t>Estudiante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7"/>
              </w:rPr>
              <w:t>Registrar especialidad, horario y capacidad; revisar casos y avanzar su estado</w:t>
            </w:r>
          </w:p>
        </w:tc>
        <w:tc>
          <w:tcPr>
            <w:tcW w:type="dxa" w:w="33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7"/>
              </w:rPr>
              <w:t>Registro y Mis asignaciones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7"/>
              </w:rPr>
              <w:t>Coordinador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7"/>
              </w:rPr>
              <w:t>Gestionar pacientes, estudiantes, matching, asignaciones y notificaciones</w:t>
            </w:r>
          </w:p>
        </w:tc>
        <w:tc>
          <w:tcPr>
            <w:tcW w:type="dxa" w:w="33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7"/>
              </w:rPr>
              <w:t>Panel autenticado</w:t>
            </w:r>
          </w:p>
        </w:tc>
      </w:tr>
      <w:tr>
        <w:tc>
          <w:tcPr>
            <w:tcW w:type="dxa" w:w="165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7"/>
              </w:rPr>
              <w:t>Administrador</w:t>
            </w:r>
          </w:p>
        </w:tc>
        <w:tc>
          <w:tcPr>
            <w:tcW w:type="dxa" w:w="51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7"/>
              </w:rPr>
              <w:t>Administrar cuentas, roles y operación completa</w:t>
            </w:r>
          </w:p>
        </w:tc>
        <w:tc>
          <w:tcPr>
            <w:tcW w:type="dxa" w:w="33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7"/>
              </w:rPr>
              <w:t>Panel autenticado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Arial" w:hAnsi="Arial"/>
          <w:b/>
          <w:i w:val="0"/>
          <w:color w:val="000000"/>
          <w:sz w:val="22"/>
        </w:rPr>
        <w:t>Incluido en la demo</w:t>
      </w:r>
    </w:p>
    <w:p>
      <w:pPr>
        <w:pStyle w:val="ListBullet"/>
        <w:spacing w:after="40" w:line="252" w:lineRule="auto"/>
        <w:ind w:left="288"/>
      </w:pPr>
      <w:r>
        <w:rPr>
          <w:rFonts w:ascii="Arial" w:hAnsi="Arial"/>
          <w:b w:val="0"/>
          <w:i w:val="0"/>
          <w:color w:val="202020"/>
          <w:sz w:val="19"/>
        </w:rPr>
        <w:t>Landing y navegación pública en español.</w:t>
      </w:r>
    </w:p>
    <w:p>
      <w:pPr>
        <w:pStyle w:val="ListBullet"/>
        <w:spacing w:after="40" w:line="252" w:lineRule="auto"/>
        <w:ind w:left="288"/>
      </w:pPr>
      <w:r>
        <w:rPr>
          <w:rFonts w:ascii="Arial" w:hAnsi="Arial"/>
          <w:b w:val="0"/>
          <w:i w:val="0"/>
          <w:color w:val="202020"/>
          <w:sz w:val="19"/>
        </w:rPr>
        <w:t>Registro de paciente con consentimiento explícito y cuestionario clínico dinámico.</w:t>
      </w:r>
    </w:p>
    <w:p>
      <w:pPr>
        <w:pStyle w:val="ListBullet"/>
        <w:spacing w:after="40" w:line="252" w:lineRule="auto"/>
        <w:ind w:left="288"/>
      </w:pPr>
      <w:r>
        <w:rPr>
          <w:rFonts w:ascii="Arial" w:hAnsi="Arial"/>
          <w:b w:val="0"/>
          <w:i w:val="0"/>
          <w:color w:val="202020"/>
          <w:sz w:val="19"/>
        </w:rPr>
        <w:t>Pre-categorización opcional con agente IA y fallback determinista.</w:t>
      </w:r>
    </w:p>
    <w:p>
      <w:pPr>
        <w:pStyle w:val="ListBullet"/>
        <w:spacing w:after="40" w:line="252" w:lineRule="auto"/>
        <w:ind w:left="288"/>
      </w:pPr>
      <w:r>
        <w:rPr>
          <w:rFonts w:ascii="Arial" w:hAnsi="Arial"/>
          <w:b w:val="0"/>
          <w:i w:val="0"/>
          <w:color w:val="202020"/>
          <w:sz w:val="19"/>
        </w:rPr>
        <w:t>Registro de estudiantes con especialidades, clínica, horarios y capacidad.</w:t>
      </w:r>
    </w:p>
    <w:p>
      <w:pPr>
        <w:pStyle w:val="ListBullet"/>
        <w:spacing w:after="40" w:line="252" w:lineRule="auto"/>
        <w:ind w:left="288"/>
      </w:pPr>
      <w:r>
        <w:rPr>
          <w:rFonts w:ascii="Arial" w:hAnsi="Arial"/>
          <w:b w:val="0"/>
          <w:i w:val="0"/>
          <w:color w:val="202020"/>
          <w:sz w:val="19"/>
        </w:rPr>
        <w:t>Login, refresh token rotativo, logout, cookies HttpOnly y permisos por rol.</w:t>
      </w:r>
    </w:p>
    <w:p>
      <w:pPr>
        <w:pStyle w:val="ListBullet"/>
        <w:spacing w:after="40" w:line="252" w:lineRule="auto"/>
        <w:ind w:left="288"/>
      </w:pPr>
      <w:r>
        <w:rPr>
          <w:rFonts w:ascii="Arial" w:hAnsi="Arial"/>
          <w:b w:val="0"/>
          <w:i w:val="0"/>
          <w:color w:val="202020"/>
          <w:sz w:val="19"/>
        </w:rPr>
        <w:t>Matching determinista con score y factores auditables.</w:t>
      </w:r>
    </w:p>
    <w:p>
      <w:pPr>
        <w:pStyle w:val="ListBullet"/>
        <w:spacing w:after="40" w:line="252" w:lineRule="auto"/>
        <w:ind w:left="288"/>
      </w:pPr>
      <w:r>
        <w:rPr>
          <w:rFonts w:ascii="Arial" w:hAnsi="Arial"/>
          <w:b w:val="0"/>
          <w:i w:val="0"/>
          <w:color w:val="202020"/>
          <w:sz w:val="19"/>
        </w:rPr>
        <w:t>Asignaciones con estados asignado, notificado, contactado, en tratamiento, completado y cancelado.</w:t>
      </w:r>
    </w:p>
    <w:p>
      <w:pPr>
        <w:pStyle w:val="ListBullet"/>
        <w:spacing w:after="40" w:line="252" w:lineRule="auto"/>
        <w:ind w:left="288"/>
      </w:pPr>
      <w:r>
        <w:rPr>
          <w:rFonts w:ascii="Arial" w:hAnsi="Arial"/>
          <w:b w:val="0"/>
          <w:i w:val="0"/>
          <w:color w:val="202020"/>
          <w:sz w:val="19"/>
        </w:rPr>
        <w:t>Dashboard, cola de pendientes, gestión de registros y outbox de notificaciones.</w:t>
      </w:r>
    </w:p>
    <w:p>
      <w:pPr>
        <w:pStyle w:val="ListBullet"/>
        <w:spacing w:after="40" w:line="252" w:lineRule="auto"/>
        <w:ind w:left="288"/>
      </w:pPr>
      <w:r>
        <w:rPr>
          <w:rFonts w:ascii="Arial" w:hAnsi="Arial"/>
          <w:b w:val="0"/>
          <w:i w:val="0"/>
          <w:color w:val="202020"/>
          <w:sz w:val="19"/>
        </w:rPr>
        <w:t>API Express, MySQL, migraciones, Docker, pruebas y frontend React/Vite.</w:t>
      </w:r>
    </w:p>
    <w:p>
      <w:pPr>
        <w:pStyle w:val="Heading2"/>
        <w:keepNext/>
        <w:spacing w:before="180" w:after="100"/>
      </w:pPr>
      <w:r>
        <w:rPr>
          <w:rFonts w:ascii="Arial" w:hAnsi="Arial"/>
          <w:b/>
          <w:i w:val="0"/>
          <w:color w:val="000000"/>
          <w:sz w:val="22"/>
        </w:rPr>
        <w:t>Límites del producto</w:t>
      </w:r>
    </w:p>
    <w:p>
      <w:pPr>
        <w:spacing w:before="0" w:after="120" w:line="269" w:lineRule="auto"/>
      </w:pPr>
      <w:r>
        <w:rPr>
          <w:rFonts w:ascii="Arial" w:hAnsi="Arial"/>
          <w:b w:val="0"/>
          <w:i w:val="0"/>
          <w:color w:val="202020"/>
          <w:sz w:val="20"/>
        </w:rPr>
        <w:t>El sistema no entrega diagnósticos médicos, no permite que un LLM seleccione estudiantes y no reemplaza la evaluación odontológica. Tampoco incluye historia clínica completa, pagos, agenda institucional ni envío real de correos hasta implementar el worker y el proveedor correspondiente.</w:t>
      </w:r>
    </w:p>
    <w:p>
      <w:pPr>
        <w:pStyle w:val="Heading1"/>
        <w:keepNext/>
        <w:spacing w:before="260" w:after="100"/>
      </w:pPr>
      <w:r>
        <w:rPr>
          <w:rFonts w:ascii="Arial" w:hAnsi="Arial"/>
          <w:b/>
          <w:i w:val="0"/>
          <w:color w:val="000000"/>
          <w:sz w:val="28"/>
        </w:rPr>
        <w:t>2 Épicas de Jira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00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262626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Código</w:t>
            </w:r>
          </w:p>
        </w:tc>
        <w:tc>
          <w:tcPr>
            <w:tcW w:type="dxa" w:w="223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262626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Épica</w:t>
            </w:r>
          </w:p>
        </w:tc>
        <w:tc>
          <w:tcPr>
            <w:tcW w:type="dxa" w:w="36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262626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Resultado esperado</w:t>
            </w:r>
          </w:p>
        </w:tc>
        <w:tc>
          <w:tcPr>
            <w:tcW w:type="dxa" w:w="316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262626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Evidencia principal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6"/>
              </w:rPr>
              <w:t>DMC-EP01</w:t>
            </w:r>
          </w:p>
        </w:tc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Plataforma arquitectura y datos</w:t>
            </w:r>
          </w:p>
        </w:tc>
        <w:tc>
          <w:tcPr>
            <w:tcW w:type="dxa" w:w="36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Base ejecutable, modular, hexagonal y persistencia MySQL reproducible</w:t>
            </w:r>
          </w:p>
        </w:tc>
        <w:tc>
          <w:tcPr>
            <w:tcW w:type="dxa" w:w="31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package.json; server.js; src/infrastructure; src/domain; migrations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6"/>
              </w:rPr>
              <w:t>DMC-EP02</w:t>
            </w:r>
          </w:p>
        </w:tc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Usuarios autenticación y autorización</w:t>
            </w:r>
          </w:p>
        </w:tc>
        <w:tc>
          <w:tcPr>
            <w:tcW w:type="dxa" w:w="36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Sesiones seguras y acceso correcto para admin coordinador y estudiante</w:t>
            </w:r>
          </w:p>
        </w:tc>
        <w:tc>
          <w:tcPr>
            <w:tcW w:type="dxa" w:w="31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src/application/auth; auth.controller.js; auth.js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6"/>
              </w:rPr>
              <w:t>DMC-EP03</w:t>
            </w:r>
          </w:p>
        </w:tc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Paciente intake y triaje</w:t>
            </w:r>
          </w:p>
        </w:tc>
        <w:tc>
          <w:tcPr>
            <w:tcW w:type="dxa" w:w="36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Caso público validado consentido categorizado y confirmado</w:t>
            </w:r>
          </w:p>
        </w:tc>
        <w:tc>
          <w:tcPr>
            <w:tcW w:type="dxa" w:w="31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RegistroPaciente.jsx; patient.service.js; patient.validation.js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6"/>
              </w:rPr>
              <w:t>DMC-EP04</w:t>
            </w:r>
          </w:p>
        </w:tc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Estudiantes disponibilidad y capacidad</w:t>
            </w:r>
          </w:p>
        </w:tc>
        <w:tc>
          <w:tcPr>
            <w:tcW w:type="dxa" w:w="36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Perfil elegible para matching con horarios y carga verificables</w:t>
            </w:r>
          </w:p>
        </w:tc>
        <w:tc>
          <w:tcPr>
            <w:tcW w:type="dxa" w:w="31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RegistroEstudiante.jsx; student.service.js; student.repository.js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6"/>
              </w:rPr>
              <w:t>DMC-EP05</w:t>
            </w:r>
          </w:p>
        </w:tc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Matching explicable e IA auxiliar</w:t>
            </w:r>
          </w:p>
        </w:tc>
        <w:tc>
          <w:tcPr>
            <w:tcW w:type="dxa" w:w="36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Candidato compatible elegido por reglas deterministas y score auditable</w:t>
            </w:r>
          </w:p>
        </w:tc>
        <w:tc>
          <w:tcPr>
            <w:tcW w:type="dxa" w:w="31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scoring.js; matching.service.js; matching.repository.js; ai_agent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6"/>
              </w:rPr>
              <w:t>DMC-EP06</w:t>
            </w:r>
          </w:p>
        </w:tc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Asignaciones y seguimiento</w:t>
            </w:r>
          </w:p>
        </w:tc>
        <w:tc>
          <w:tcPr>
            <w:tcW w:type="dxa" w:w="36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Ciclo de vida completo sin estados inválidos</w:t>
            </w:r>
          </w:p>
        </w:tc>
        <w:tc>
          <w:tcPr>
            <w:tcW w:type="dxa" w:w="31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assignment.policy.js; assignment.repository.js; Assignments.jsx; MisAsignaciones.jsx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6"/>
              </w:rPr>
              <w:t>DMC-EP07</w:t>
            </w:r>
          </w:p>
        </w:tc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Operación dashboard y notificaciones</w:t>
            </w:r>
          </w:p>
        </w:tc>
        <w:tc>
          <w:tcPr>
            <w:tcW w:type="dxa" w:w="36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Equipo coordinador opera la cola y consulta métricas/outbox</w:t>
            </w:r>
          </w:p>
        </w:tc>
        <w:tc>
          <w:tcPr>
            <w:tcW w:type="dxa" w:w="31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Dashboard.jsx; Matching.jsx; Notifications.jsx</w:t>
            </w:r>
          </w:p>
        </w:tc>
      </w:tr>
      <w:tr>
        <w:tc>
          <w:tcPr>
            <w:tcW w:type="dxa" w:w="100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6"/>
              </w:rPr>
              <w:t>DMC-EP08</w:t>
            </w:r>
          </w:p>
        </w:tc>
        <w:tc>
          <w:tcPr>
            <w:tcW w:type="dxa" w:w="223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Frontend seguridad calidad y release</w:t>
            </w:r>
          </w:p>
        </w:tc>
        <w:tc>
          <w:tcPr>
            <w:tcW w:type="dxa" w:w="367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Experiencia accesible pruebas y despliegue reproducible</w:t>
            </w:r>
          </w:p>
        </w:tc>
        <w:tc>
          <w:tcPr>
            <w:tcW w:type="dxa" w:w="316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client/src; tests; Dockerfile; docker-compose.yml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60" w:after="100"/>
      </w:pPr>
      <w:r>
        <w:rPr>
          <w:rFonts w:ascii="Arial" w:hAnsi="Arial"/>
          <w:b/>
          <w:i w:val="0"/>
          <w:color w:val="000000"/>
          <w:sz w:val="28"/>
        </w:rPr>
        <w:t>3 Hitos de las 18 semanas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7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262626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Hito</w:t>
            </w:r>
          </w:p>
        </w:tc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262626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Semana</w:t>
            </w:r>
          </w:p>
        </w:tc>
        <w:tc>
          <w:tcPr>
            <w:tcW w:type="dxa" w:w="374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262626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Incremento demostrable</w:t>
            </w:r>
          </w:p>
        </w:tc>
        <w:tc>
          <w:tcPr>
            <w:tcW w:type="dxa" w:w="381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262626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Criterio de salida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H1 Base del producto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2</w:t>
            </w:r>
          </w:p>
        </w:tc>
        <w:tc>
          <w:tcPr>
            <w:tcW w:type="dxa" w:w="37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Backend, migraciones y arquitectura documentada</w:t>
            </w:r>
          </w:p>
        </w:tc>
        <w:tc>
          <w:tcPr>
            <w:tcW w:type="dxa" w:w="381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npm ci, migrate:status y /api/health funcionan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H2 Acceso y roles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4</w:t>
            </w:r>
          </w:p>
        </w:tc>
        <w:tc>
          <w:tcPr>
            <w:tcW w:type="dxa" w:w="37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Login y rutas protegidas</w:t>
            </w:r>
          </w:p>
        </w:tc>
        <w:tc>
          <w:tcPr>
            <w:tcW w:type="dxa" w:w="381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Cookies de sesión y permisos correctos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H3 Alta de usuarios operativos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6</w:t>
            </w:r>
          </w:p>
        </w:tc>
        <w:tc>
          <w:tcPr>
            <w:tcW w:type="dxa" w:w="37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Paciente y estudiante registrados</w:t>
            </w:r>
          </w:p>
        </w:tc>
        <w:tc>
          <w:tcPr>
            <w:tcW w:type="dxa" w:w="381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Consentimiento, respuestas, horarios y capacidad persistidos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H4 Matching MVP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8</w:t>
            </w:r>
          </w:p>
        </w:tc>
        <w:tc>
          <w:tcPr>
            <w:tcW w:type="dxa" w:w="37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Caso elegible asignado o pendiente</w:t>
            </w:r>
          </w:p>
        </w:tc>
        <w:tc>
          <w:tcPr>
            <w:tcW w:type="dxa" w:w="381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Score reproducible y capacidad protegida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H5 Seguimiento operativo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10</w:t>
            </w:r>
          </w:p>
        </w:tc>
        <w:tc>
          <w:tcPr>
            <w:tcW w:type="dxa" w:w="37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Ciclo de asignación gestionable</w:t>
            </w:r>
          </w:p>
        </w:tc>
        <w:tc>
          <w:tcPr>
            <w:tcW w:type="dxa" w:w="381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Transiciones válidas y carga liberada al cerrar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H6 Centro de operación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12</w:t>
            </w:r>
          </w:p>
        </w:tc>
        <w:tc>
          <w:tcPr>
            <w:tcW w:type="dxa" w:w="37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Dashboard, pendientes y outbox</w:t>
            </w:r>
          </w:p>
        </w:tc>
        <w:tc>
          <w:tcPr>
            <w:tcW w:type="dxa" w:w="381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Métricas consistentes y eventos registrados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H7 IA auxiliar y UX final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14</w:t>
            </w:r>
          </w:p>
        </w:tc>
        <w:tc>
          <w:tcPr>
            <w:tcW w:type="dxa" w:w="37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IA no bloqueante e interfaz responsive</w:t>
            </w:r>
          </w:p>
        </w:tc>
        <w:tc>
          <w:tcPr>
            <w:tcW w:type="dxa" w:w="381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Fallback, errores y loading recuperables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H8 Calidad y release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16</w:t>
            </w:r>
          </w:p>
        </w:tc>
        <w:tc>
          <w:tcPr>
            <w:tcW w:type="dxa" w:w="37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Pruebas, seguridad y despliegue reproducible</w:t>
            </w:r>
          </w:p>
        </w:tc>
        <w:tc>
          <w:tcPr>
            <w:tcW w:type="dxa" w:w="381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Tests, lint, build, Docker y secretos revisados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H9 Cierre Capstone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18</w:t>
            </w:r>
          </w:p>
        </w:tc>
        <w:tc>
          <w:tcPr>
            <w:tcW w:type="dxa" w:w="374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Demo E2E, documentación y presentación</w:t>
            </w:r>
          </w:p>
        </w:tc>
        <w:tc>
          <w:tcPr>
            <w:tcW w:type="dxa" w:w="381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Caso completo y evidencia entregada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60" w:after="100"/>
      </w:pPr>
      <w:r>
        <w:rPr>
          <w:rFonts w:ascii="Arial" w:hAnsi="Arial"/>
          <w:b/>
          <w:i w:val="0"/>
          <w:color w:val="000000"/>
          <w:sz w:val="28"/>
        </w:rPr>
        <w:t>4 Calendario por sprint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262626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Sprint</w:t>
            </w:r>
          </w:p>
        </w:tc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262626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Semanas</w:t>
            </w:r>
          </w:p>
        </w:tc>
        <w:tc>
          <w:tcPr>
            <w:tcW w:type="dxa" w:w="122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262626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Épicas</w:t>
            </w:r>
          </w:p>
        </w:tc>
        <w:tc>
          <w:tcPr>
            <w:tcW w:type="dxa" w:w="44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262626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Trabajo principal</w:t>
            </w:r>
          </w:p>
        </w:tc>
        <w:tc>
          <w:tcPr>
            <w:tcW w:type="dxa" w:w="25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262626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Entregable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6"/>
              </w:rPr>
              <w:t>S01</w:t>
            </w:r>
          </w:p>
        </w:tc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1–2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EP01</w:t>
            </w:r>
          </w:p>
        </w:tc>
        <w:tc>
          <w:tcPr>
            <w:tcW w:type="dxa" w:w="44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Alcance, arquitectura, API base, conexión y migraciones</w:t>
            </w:r>
          </w:p>
        </w:tc>
        <w:tc>
          <w:tcPr>
            <w:tcW w:type="dxa" w:w="25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H1: base ejecutable y esquema MySQL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6"/>
              </w:rPr>
              <w:t>S02</w:t>
            </w:r>
          </w:p>
        </w:tc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3–4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EP02, EP08</w:t>
            </w:r>
          </w:p>
        </w:tc>
        <w:tc>
          <w:tcPr>
            <w:tcW w:type="dxa" w:w="44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Auth, cookies, roles, errores, límites y navegación</w:t>
            </w:r>
          </w:p>
        </w:tc>
        <w:tc>
          <w:tcPr>
            <w:tcW w:type="dxa" w:w="25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H2: acceso seguro por rol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6"/>
              </w:rPr>
              <w:t>S03</w:t>
            </w:r>
          </w:p>
        </w:tc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5–6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EP03</w:t>
            </w:r>
          </w:p>
        </w:tc>
        <w:tc>
          <w:tcPr>
            <w:tcW w:type="dxa" w:w="44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Landing, intake, consentimiento, cuestionario y confirmación</w:t>
            </w:r>
          </w:p>
        </w:tc>
        <w:tc>
          <w:tcPr>
            <w:tcW w:type="dxa" w:w="25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H3: caso de paciente registrado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6"/>
              </w:rPr>
              <w:t>S04</w:t>
            </w:r>
          </w:p>
        </w:tc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7–8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EP04</w:t>
            </w:r>
          </w:p>
        </w:tc>
        <w:tc>
          <w:tcPr>
            <w:tcW w:type="dxa" w:w="44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Registro estudiante, especialidades, horarios, capacidad y CRUD</w:t>
            </w:r>
          </w:p>
        </w:tc>
        <w:tc>
          <w:tcPr>
            <w:tcW w:type="dxa" w:w="25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H3: candidato elegible persistido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6"/>
              </w:rPr>
              <w:t>S05</w:t>
            </w:r>
          </w:p>
        </w:tc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9–10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EP05</w:t>
            </w:r>
          </w:p>
        </w:tc>
        <w:tc>
          <w:tcPr>
            <w:tcW w:type="dxa" w:w="44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Categorización, pesos, filtros, explicación y matching</w:t>
            </w:r>
          </w:p>
        </w:tc>
        <w:tc>
          <w:tcPr>
            <w:tcW w:type="dxa" w:w="25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H4: matching reproducible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6"/>
              </w:rPr>
              <w:t>S06</w:t>
            </w:r>
          </w:p>
        </w:tc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11–12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EP06</w:t>
            </w:r>
          </w:p>
        </w:tc>
        <w:tc>
          <w:tcPr>
            <w:tcW w:type="dxa" w:w="44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Estados, permisos, Mis asignaciones, cancelación y carga</w:t>
            </w:r>
          </w:p>
        </w:tc>
        <w:tc>
          <w:tcPr>
            <w:tcW w:type="dxa" w:w="25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H5: seguimiento end-to-end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6"/>
              </w:rPr>
              <w:t>S07</w:t>
            </w:r>
          </w:p>
        </w:tc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13–14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EP07, EP05</w:t>
            </w:r>
          </w:p>
        </w:tc>
        <w:tc>
          <w:tcPr>
            <w:tcW w:type="dxa" w:w="44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Dashboard, pendientes, outbox y agente IA</w:t>
            </w:r>
          </w:p>
        </w:tc>
        <w:tc>
          <w:tcPr>
            <w:tcW w:type="dxa" w:w="25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H6/H7: operación e IA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6"/>
              </w:rPr>
              <w:t>S08</w:t>
            </w:r>
          </w:p>
        </w:tc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15–16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EP08</w:t>
            </w:r>
          </w:p>
        </w:tc>
        <w:tc>
          <w:tcPr>
            <w:tcW w:type="dxa" w:w="44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Accesibilidad, pruebas, Docker, rate limits y seguridad</w:t>
            </w:r>
          </w:p>
        </w:tc>
        <w:tc>
          <w:tcPr>
            <w:tcW w:type="dxa" w:w="25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H8: release candidate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6"/>
              </w:rPr>
              <w:t>S09</w:t>
            </w:r>
          </w:p>
        </w:tc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17–18</w:t>
            </w:r>
          </w:p>
        </w:tc>
        <w:tc>
          <w:tcPr>
            <w:tcW w:type="dxa" w:w="122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Todas</w:t>
            </w:r>
          </w:p>
        </w:tc>
        <w:tc>
          <w:tcPr>
            <w:tcW w:type="dxa" w:w="44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Worker, CI, backup, E2E, manual y presentación</w:t>
            </w:r>
          </w:p>
        </w:tc>
        <w:tc>
          <w:tcPr>
            <w:tcW w:type="dxa" w:w="25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H9: entrega Capstone</w:t>
            </w:r>
          </w:p>
        </w:tc>
      </w:tr>
    </w:tbl>
    <w:p>
      <w:pPr>
        <w:spacing w:after="20"/>
      </w:pPr>
    </w:p>
    <w:p>
      <w:pPr>
        <w:sectPr>
          <w:footerReference w:type="default" r:id="rId9"/>
          <w:pgSz w:w="12240" w:h="15840"/>
          <w:pgMar w:top="936" w:right="936" w:bottom="936" w:left="936" w:header="432" w:footer="432" w:gutter="0"/>
          <w:cols w:space="720"/>
          <w:docGrid w:linePitch="360"/>
        </w:sectPr>
      </w:pPr>
    </w:p>
    <w:p>
      <w:pPr>
        <w:pStyle w:val="Heading1"/>
        <w:keepNext/>
        <w:spacing w:before="260" w:after="100"/>
      </w:pPr>
      <w:r>
        <w:rPr>
          <w:rFonts w:ascii="Arial" w:hAnsi="Arial"/>
          <w:b/>
          <w:i w:val="0"/>
          <w:color w:val="000000"/>
          <w:sz w:val="28"/>
        </w:rPr>
        <w:t>5 Product backlog detallado</w:t>
      </w:r>
    </w:p>
    <w:p>
      <w:pPr>
        <w:spacing w:before="0" w:after="120" w:line="269" w:lineRule="auto"/>
      </w:pPr>
      <w:r>
        <w:rPr>
          <w:rFonts w:ascii="Arial" w:hAnsi="Arial"/>
          <w:b w:val="0"/>
          <w:i w:val="0"/>
          <w:color w:val="202020"/>
          <w:sz w:val="20"/>
        </w:rPr>
        <w:t>Cada fila representa un issue importable a Jira. Los criterios de aceptación son verificables y las rutas indicadas son entregables previstos. Todos los issues parten con estado Por iniciar.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9"/>
        <w:gridCol w:w="1469"/>
        <w:gridCol w:w="1469"/>
        <w:gridCol w:w="1469"/>
        <w:gridCol w:w="1469"/>
        <w:gridCol w:w="1469"/>
        <w:gridCol w:w="1469"/>
        <w:gridCol w:w="1469"/>
        <w:gridCol w:w="1469"/>
        <w:gridCol w:w="1469"/>
      </w:tblGrid>
      <w:tr>
        <w:trPr>
          <w:tblHeader w:val="true"/>
        </w:trPr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262626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3"/>
              </w:rPr>
              <w:t>ID</w:t>
            </w:r>
          </w:p>
        </w:tc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262626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3"/>
              </w:rPr>
              <w:t>Tipo</w:t>
            </w:r>
          </w:p>
        </w:tc>
        <w:tc>
          <w:tcPr>
            <w:tcW w:type="dxa" w:w="60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262626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3"/>
              </w:rPr>
              <w:t>Sprint</w:t>
            </w:r>
          </w:p>
        </w:tc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262626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3"/>
              </w:rPr>
              <w:t>Resumen</w:t>
            </w:r>
          </w:p>
        </w:tc>
        <w:tc>
          <w:tcPr>
            <w:tcW w:type="dxa" w:w="266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262626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3"/>
              </w:rPr>
              <w:t>Historia de usuario</w:t>
            </w:r>
          </w:p>
        </w:tc>
        <w:tc>
          <w:tcPr>
            <w:tcW w:type="dxa" w:w="396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262626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3"/>
              </w:rPr>
              <w:t>Criterios de aceptación</w:t>
            </w:r>
          </w:p>
        </w:tc>
        <w:tc>
          <w:tcPr>
            <w:tcW w:type="dxa" w:w="5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262626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3"/>
              </w:rPr>
              <w:t>SP</w:t>
            </w:r>
          </w:p>
        </w:tc>
        <w:tc>
          <w:tcPr>
            <w:tcW w:type="dxa" w:w="79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262626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3"/>
              </w:rPr>
              <w:t>Prioridad</w:t>
            </w:r>
          </w:p>
        </w:tc>
        <w:tc>
          <w:tcPr>
            <w:tcW w:type="dxa" w:w="93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262626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3"/>
              </w:rPr>
              <w:t>Estado</w:t>
            </w:r>
          </w:p>
        </w:tc>
        <w:tc>
          <w:tcPr>
            <w:tcW w:type="dxa" w:w="208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262626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3"/>
              </w:rPr>
              <w:t>Entregable y evidencia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DMC-001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Task</w:t>
            </w:r>
          </w:p>
        </w:tc>
        <w:tc>
          <w:tcPr>
            <w:tcW w:type="dxa" w:w="60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S01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Definir visión actores y alcance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Acordar problema usuarios límites riesgos y criterios de éxito</w:t>
            </w:r>
          </w:p>
        </w:tc>
        <w:tc>
          <w:tcPr>
            <w:tcW w:type="dxa" w:w="39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PRODUCT.md documenta propósito usuarios alcance y exclusiones</w:t>
            </w:r>
          </w:p>
        </w:tc>
        <w:tc>
          <w:tcPr>
            <w:tcW w:type="dxa" w:w="5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3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t>Media</w:t>
            </w:r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Por iniciar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docs/PRODUCT.md; README.md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DMC-002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Task</w:t>
            </w:r>
          </w:p>
        </w:tc>
        <w:tc>
          <w:tcPr>
            <w:tcW w:type="dxa" w:w="60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S01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Montar monolito modular hexagonal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Separar dominio aplicación adaptadores e infraestructura</w:t>
            </w:r>
          </w:p>
        </w:tc>
        <w:tc>
          <w:tcPr>
            <w:tcW w:type="dxa" w:w="39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Rutas sin SQL/reglas; repositorios fuera de aplicación</w:t>
            </w:r>
          </w:p>
        </w:tc>
        <w:tc>
          <w:tcPr>
            <w:tcW w:type="dxa" w:w="5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t>Alta</w:t>
            </w:r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Por iniciar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docs/ARCHITECTURE.md; src/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DMC-003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Story</w:t>
            </w:r>
          </w:p>
        </w:tc>
        <w:tc>
          <w:tcPr>
            <w:tcW w:type="dxa" w:w="60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S01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Crear esquema MySQL reproducible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Crear tablas users estudiantes especialidades pacientes asignaciones notificaciones y migrations</w:t>
            </w:r>
          </w:p>
        </w:tc>
        <w:tc>
          <w:tcPr>
            <w:tcW w:type="dxa" w:w="39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Migraciones up ejecutan sin SQL manual y registran versiones</w:t>
            </w:r>
          </w:p>
        </w:tc>
        <w:tc>
          <w:tcPr>
            <w:tcW w:type="dxa" w:w="5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8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t>Crítica</w:t>
            </w:r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Por iniciar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src/infrastructure/database/migrations/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DMC-004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Task</w:t>
            </w:r>
          </w:p>
        </w:tc>
        <w:tc>
          <w:tcPr>
            <w:tcW w:type="dxa" w:w="60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S01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Preparar ejecución local y Docker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Instalación configuración y compose reproducibles</w:t>
            </w:r>
          </w:p>
        </w:tc>
        <w:tc>
          <w:tcPr>
            <w:tcW w:type="dxa" w:w="39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npm ci; Docker config; secretos solo desde entorno</w:t>
            </w:r>
          </w:p>
        </w:tc>
        <w:tc>
          <w:tcPr>
            <w:tcW w:type="dxa" w:w="5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t>Alta</w:t>
            </w:r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Por iniciar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package.json; Dockerfile; docker-compose.yml; .env.example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DMC-005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Story</w:t>
            </w:r>
          </w:p>
        </w:tc>
        <w:tc>
          <w:tcPr>
            <w:tcW w:type="dxa" w:w="60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S02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Iniciar y cerrar sesión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Entrar con credenciales y cerrar sesión</w:t>
            </w:r>
          </w:p>
        </w:tc>
        <w:tc>
          <w:tcPr>
            <w:tcW w:type="dxa" w:w="39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Login correcto crea cookies; error no filtra usuario; logout invalida refresh</w:t>
            </w:r>
          </w:p>
        </w:tc>
        <w:tc>
          <w:tcPr>
            <w:tcW w:type="dxa" w:w="5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t>Crítica</w:t>
            </w:r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Por iniciar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auth.service.js; auth.controller.js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DMC-006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Story</w:t>
            </w:r>
          </w:p>
        </w:tc>
        <w:tc>
          <w:tcPr>
            <w:tcW w:type="dxa" w:w="60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S02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Renovar sesión con refresh rotativo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Mantener sesión sin localStorage</w:t>
            </w:r>
          </w:p>
        </w:tc>
        <w:tc>
          <w:tcPr>
            <w:tcW w:type="dxa" w:w="39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Refresh hash-only; rotación; sesión inválida 401</w:t>
            </w:r>
          </w:p>
        </w:tc>
        <w:tc>
          <w:tcPr>
            <w:tcW w:type="dxa" w:w="5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t>Alta</w:t>
            </w:r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Por iniciar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jwt.adapter.js; auth.repository.js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DMC-007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Story</w:t>
            </w:r>
          </w:p>
        </w:tc>
        <w:tc>
          <w:tcPr>
            <w:tcW w:type="dxa" w:w="60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S02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Aplicar roles y permisos mínimos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Restringir dashboard y recursos por rol</w:t>
            </w:r>
          </w:p>
        </w:tc>
        <w:tc>
          <w:tcPr>
            <w:tcW w:type="dxa" w:w="39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Admin/coordinador operan; estudiante solo sus asignaciones; 401/403</w:t>
            </w:r>
          </w:p>
        </w:tc>
        <w:tc>
          <w:tcPr>
            <w:tcW w:type="dxa" w:w="5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t>Alta</w:t>
            </w:r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Por iniciar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auth.js; App.jsx; authMiddleware.test.js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DMC-008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Task</w:t>
            </w:r>
          </w:p>
        </w:tc>
        <w:tc>
          <w:tcPr>
            <w:tcW w:type="dxa" w:w="60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S02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Centralizar errores y protecciones HTTP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Errores consistentes y protecciones básicas</w:t>
            </w:r>
          </w:p>
        </w:tc>
        <w:tc>
          <w:tcPr>
            <w:tcW w:type="dxa" w:w="39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Request id; body/rate limits; Helmet; no stack en producción</w:t>
            </w:r>
          </w:p>
        </w:tc>
        <w:tc>
          <w:tcPr>
            <w:tcW w:type="dxa" w:w="5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t>Media</w:t>
            </w:r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Por iniciar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app.js; errorHandler.js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DMC-009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Story</w:t>
            </w:r>
          </w:p>
        </w:tc>
        <w:tc>
          <w:tcPr>
            <w:tcW w:type="dxa" w:w="60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S03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Publicar landing y rutas públicas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Explicar producto y ofrecer entradas por rol</w:t>
            </w:r>
          </w:p>
        </w:tc>
        <w:tc>
          <w:tcPr>
            <w:tcW w:type="dxa" w:w="39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Landing y rutas públicas navegables en español</w:t>
            </w:r>
          </w:p>
        </w:tc>
        <w:tc>
          <w:tcPr>
            <w:tcW w:type="dxa" w:w="5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3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t>Media</w:t>
            </w:r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Por iniciar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Landing.jsx; App.jsx; DESIGN.md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DMC-010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Story</w:t>
            </w:r>
          </w:p>
        </w:tc>
        <w:tc>
          <w:tcPr>
            <w:tcW w:type="dxa" w:w="60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S03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Registrar datos y consentimiento de paciente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Crear intake con consentimiento obligatorio</w:t>
            </w:r>
          </w:p>
        </w:tc>
        <w:tc>
          <w:tcPr>
            <w:tcW w:type="dxa" w:w="39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Datos básicos válidos; email normalizado; sin consentimiento no escribe</w:t>
            </w:r>
          </w:p>
        </w:tc>
        <w:tc>
          <w:tcPr>
            <w:tcW w:type="dxa" w:w="5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t>Crítica</w:t>
            </w:r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Por iniciar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RegistroPaciente.jsx; patient.validation.js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DMC-011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Story</w:t>
            </w:r>
          </w:p>
        </w:tc>
        <w:tc>
          <w:tcPr>
            <w:tcW w:type="dxa" w:w="60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S03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Implementar cuestionario clínico dinámico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Capturar respuestas estructuradas con progreso</w:t>
            </w:r>
          </w:p>
        </w:tc>
        <w:tc>
          <w:tcPr>
            <w:tcW w:type="dxa" w:w="39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Features visibles; progreso; cuestionario vacío rechazado</w:t>
            </w:r>
          </w:p>
        </w:tc>
        <w:tc>
          <w:tcPr>
            <w:tcW w:type="dxa" w:w="5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8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t>Alta</w:t>
            </w:r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Por iniciar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triajeFeatures.js; RegistroPaciente.jsx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DMC-012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Story</w:t>
            </w:r>
          </w:p>
        </w:tc>
        <w:tc>
          <w:tcPr>
            <w:tcW w:type="dxa" w:w="60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S03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Confirmar número y resultado del caso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Informar CASO número y asignación/pending</w:t>
            </w:r>
          </w:p>
        </w:tc>
        <w:tc>
          <w:tcPr>
            <w:tcW w:type="dxa" w:w="39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Caso CASO-XXXXXX; categoría; alerta; estudiante solo si asignado</w:t>
            </w:r>
          </w:p>
        </w:tc>
        <w:tc>
          <w:tcPr>
            <w:tcW w:type="dxa" w:w="5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t>Media</w:t>
            </w:r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Por iniciar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patient.service.js; patients.routes.js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DMC-013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Story</w:t>
            </w:r>
          </w:p>
        </w:tc>
        <w:tc>
          <w:tcPr>
            <w:tcW w:type="dxa" w:w="60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S04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Registrar estudiante con credenciales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Crear perfil público válido</w:t>
            </w:r>
          </w:p>
        </w:tc>
        <w:tc>
          <w:tcPr>
            <w:tcW w:type="dxa" w:w="39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Email único; password fuerte; año válido; especialidad y horario</w:t>
            </w:r>
          </w:p>
        </w:tc>
        <w:tc>
          <w:tcPr>
            <w:tcW w:type="dxa" w:w="5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t>Alta</w:t>
            </w:r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Por iniciar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RegistroEstudiante.jsx; student.validation.js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DMC-014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Story</w:t>
            </w:r>
          </w:p>
        </w:tc>
        <w:tc>
          <w:tcPr>
            <w:tcW w:type="dxa" w:w="60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S04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Guardar especialidades clínica horarios y capacidad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Hacer verificable la elegibilidad</w:t>
            </w:r>
          </w:p>
        </w:tc>
        <w:tc>
          <w:tcPr>
            <w:tcW w:type="dxa" w:w="39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Campos persistidos; duplicados y horario invertido rechazados</w:t>
            </w:r>
          </w:p>
        </w:tc>
        <w:tc>
          <w:tcPr>
            <w:tcW w:type="dxa" w:w="5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8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t>Alta</w:t>
            </w:r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Por iniciar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student.repository.js; migration 001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DMC-015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Story</w:t>
            </w:r>
          </w:p>
        </w:tc>
        <w:tc>
          <w:tcPr>
            <w:tcW w:type="dxa" w:w="60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S04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Gestionar pacientes y estudiantes desde panel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CRUD staff y desactivación de negocio</w:t>
            </w:r>
          </w:p>
        </w:tc>
        <w:tc>
          <w:tcPr>
            <w:tcW w:type="dxa" w:w="39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Rutas protegidas; estados loading/error/empty; sin borrado físico</w:t>
            </w:r>
          </w:p>
        </w:tc>
        <w:tc>
          <w:tcPr>
            <w:tcW w:type="dxa" w:w="5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8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t>Media</w:t>
            </w:r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Por iniciar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Patients.jsx; Students.jsx; repositories; routes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DMC-016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Task</w:t>
            </w:r>
          </w:p>
        </w:tc>
        <w:tc>
          <w:tcPr>
            <w:tcW w:type="dxa" w:w="60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S04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Normalizar catálogos e integridad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Mantener ciudades especialidades prioridades estados consistentes</w:t>
            </w:r>
          </w:p>
        </w:tc>
        <w:tc>
          <w:tcPr>
            <w:tcW w:type="dxa" w:w="39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Alias/email normalizados; FK/índices; inactivo excluido</w:t>
            </w:r>
          </w:p>
        </w:tc>
        <w:tc>
          <w:tcPr>
            <w:tcW w:type="dxa" w:w="5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t>Media</w:t>
            </w:r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Por iniciar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common.js; validation; migrations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DMC-017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Story</w:t>
            </w:r>
          </w:p>
        </w:tc>
        <w:tc>
          <w:tcPr>
            <w:tcW w:type="dxa" w:w="60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S05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Pre-categorizar con fallback determinista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Categoría operativa auditable sin bloqueo por IA</w:t>
            </w:r>
          </w:p>
        </w:tc>
        <w:tc>
          <w:tcPr>
            <w:tcW w:type="dxa" w:w="39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Reglas de infección periodoncia pulpa fractura lesión/menor; fallback</w:t>
            </w:r>
          </w:p>
        </w:tc>
        <w:tc>
          <w:tcPr>
            <w:tcW w:type="dxa" w:w="5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8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t>Crítica</w:t>
            </w:r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Por iniciar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scoring.js; patient.service.js; matching.test.js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DMC-018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Story</w:t>
            </w:r>
          </w:p>
        </w:tc>
        <w:tc>
          <w:tcPr>
            <w:tcW w:type="dxa" w:w="60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S05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Calcular score ponderado explicable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Ranking con 6 factores y pesos documentados</w:t>
            </w:r>
          </w:p>
        </w:tc>
        <w:tc>
          <w:tcPr>
            <w:tcW w:type="dxa" w:w="39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Pesos suman 100%; factores persistidos; misma entrada mismo score</w:t>
            </w:r>
          </w:p>
        </w:tc>
        <w:tc>
          <w:tcPr>
            <w:tcW w:type="dxa" w:w="5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8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t>Crítica</w:t>
            </w:r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Por iniciar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scoring.js; matching.test.js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DMC-019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Story</w:t>
            </w:r>
          </w:p>
        </w:tc>
        <w:tc>
          <w:tcPr>
            <w:tcW w:type="dxa" w:w="60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S05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Filtrar candidatos no elegibles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Evitar incompatibilidades clínicas/operativas</w:t>
            </w:r>
          </w:p>
        </w:tc>
        <w:tc>
          <w:tcPr>
            <w:tcW w:type="dxa" w:w="39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Excluye inactivo sin especialidad/clínica/capacidad/horario y duplicados</w:t>
            </w:r>
          </w:p>
        </w:tc>
        <w:tc>
          <w:tcPr>
            <w:tcW w:type="dxa" w:w="5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8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t>Alta</w:t>
            </w:r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Por iniciar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matching.repository.js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DMC-020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Story</w:t>
            </w:r>
          </w:p>
        </w:tc>
        <w:tc>
          <w:tcPr>
            <w:tcW w:type="dxa" w:w="60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S05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Ejecutar matching con transacción y lock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Asignar cola sin duplicidades</w:t>
            </w:r>
          </w:p>
        </w:tc>
        <w:tc>
          <w:tcPr>
            <w:tcW w:type="dxa" w:w="39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Bloqueos; assignment+load+outbox atómicos; lote serializado; pending sin candidato</w:t>
            </w:r>
          </w:p>
        </w:tc>
        <w:tc>
          <w:tcPr>
            <w:tcW w:type="dxa" w:w="5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13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t>Crítica</w:t>
            </w:r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Por iniciar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matching.service.js; matching.repository.js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DMC-021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Story</w:t>
            </w:r>
          </w:p>
        </w:tc>
        <w:tc>
          <w:tcPr>
            <w:tcW w:type="dxa" w:w="60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S06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Modelar ciclo de vida de asignaciones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Validar estados y fechas</w:t>
            </w:r>
          </w:p>
        </w:tc>
        <w:tc>
          <w:tcPr>
            <w:tcW w:type="dxa" w:w="39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Solo transiciones válidas; terminales; timestamps</w:t>
            </w:r>
          </w:p>
        </w:tc>
        <w:tc>
          <w:tcPr>
            <w:tcW w:type="dxa" w:w="5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8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t>Alta</w:t>
            </w:r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Por iniciar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assignment.policy.js; assignment.service.js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DMC-022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Story</w:t>
            </w:r>
          </w:p>
        </w:tc>
        <w:tc>
          <w:tcPr>
            <w:tcW w:type="dxa" w:w="60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S06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Permitir al estudiante revisar asignaciones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Ver y actualizar solo propios casos</w:t>
            </w:r>
          </w:p>
        </w:tc>
        <w:tc>
          <w:tcPr>
            <w:tcW w:type="dxa" w:w="39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/mias filtra por usuario; estados y observaciones permitidos</w:t>
            </w:r>
          </w:p>
        </w:tc>
        <w:tc>
          <w:tcPr>
            <w:tcW w:type="dxa" w:w="5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t>Media</w:t>
            </w:r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Por iniciar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MisAsignaciones.jsx; assignments.routes.js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DMC-023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Story</w:t>
            </w:r>
          </w:p>
        </w:tc>
        <w:tc>
          <w:tcPr>
            <w:tcW w:type="dxa" w:w="60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S06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Operar asignaciones desde panel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Consultar editar cancelar</w:t>
            </w:r>
          </w:p>
        </w:tc>
        <w:tc>
          <w:tcPr>
            <w:tcW w:type="dxa" w:w="39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Listado con score/factores; permisos; cancelación de negocio</w:t>
            </w:r>
          </w:p>
        </w:tc>
        <w:tc>
          <w:tcPr>
            <w:tcW w:type="dxa" w:w="5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8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t>Alta</w:t>
            </w:r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Por iniciar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Assignments.jsx; assignments.routes.js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DMC-024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Task</w:t>
            </w:r>
          </w:p>
        </w:tc>
        <w:tc>
          <w:tcPr>
            <w:tcW w:type="dxa" w:w="60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S06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Sincronizar carga y estado al cerrar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Actualizar casos activos completados y paciente</w:t>
            </w:r>
          </w:p>
        </w:tc>
        <w:tc>
          <w:tcPr>
            <w:tcW w:type="dxa" w:w="39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Carga no negativa; completar incrementa; cancelar libera y devuelve pending</w:t>
            </w:r>
          </w:p>
        </w:tc>
        <w:tc>
          <w:tcPr>
            <w:tcW w:type="dxa" w:w="5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8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t>Alta</w:t>
            </w:r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Por iniciar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assignment.repository.js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DMC-025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Story</w:t>
            </w:r>
          </w:p>
        </w:tc>
        <w:tc>
          <w:tcPr>
            <w:tcW w:type="dxa" w:w="60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S07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Mostrar dashboard de operación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Ver métricas operativas</w:t>
            </w:r>
          </w:p>
        </w:tc>
        <w:tc>
          <w:tcPr>
            <w:tcW w:type="dxa" w:w="39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Pacientes pendientes estudiantes activos asignaciones y score desde DB</w:t>
            </w:r>
          </w:p>
        </w:tc>
        <w:tc>
          <w:tcPr>
            <w:tcW w:type="dxa" w:w="5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t>Media</w:t>
            </w:r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Por iniciar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Dashboard.jsx; dashboard.repository.js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DMC-026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Story</w:t>
            </w:r>
          </w:p>
        </w:tc>
        <w:tc>
          <w:tcPr>
            <w:tcW w:type="dxa" w:w="60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S07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Consultar pendientes y ejecutar matching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Operar cola y lote desde UI</w:t>
            </w:r>
          </w:p>
        </w:tc>
        <w:tc>
          <w:tcPr>
            <w:tcW w:type="dxa" w:w="39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Endpoints protegidos; resultado muestra matched/unmatched/failures</w:t>
            </w:r>
          </w:p>
        </w:tc>
        <w:tc>
          <w:tcPr>
            <w:tcW w:type="dxa" w:w="5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t>Alta</w:t>
            </w:r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Por iniciar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Matching.jsx; matching.routes.js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DMC-027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Story</w:t>
            </w:r>
          </w:p>
        </w:tc>
        <w:tc>
          <w:tcPr>
            <w:tcW w:type="dxa" w:w="60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S07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Registrar notificaciones en outbox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Dejar avisos pendientes y consultables</w:t>
            </w:r>
          </w:p>
        </w:tc>
        <w:tc>
          <w:tcPr>
            <w:tcW w:type="dxa" w:w="39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Avisos por paciente/estudiante; estado intentos error; listado staff</w:t>
            </w:r>
          </w:p>
        </w:tc>
        <w:tc>
          <w:tcPr>
            <w:tcW w:type="dxa" w:w="5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8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t>Alta</w:t>
            </w:r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Por iniciar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notifications.repository.js; Notifications.jsx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DMC-028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Story</w:t>
            </w:r>
          </w:p>
        </w:tc>
        <w:tc>
          <w:tcPr>
            <w:tcW w:type="dxa" w:w="60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S07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Integrar agente IA auxiliar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Pre-categorizar sin decidir asignación</w:t>
            </w:r>
          </w:p>
        </w:tc>
        <w:tc>
          <w:tcPr>
            <w:tcW w:type="dxa" w:w="39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health/pre-categorize; salida normalizada; timeout/error fallback</w:t>
            </w:r>
          </w:p>
        </w:tc>
        <w:tc>
          <w:tcPr>
            <w:tcW w:type="dxa" w:w="5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8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t>Alta</w:t>
            </w:r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Por iniciar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ai_agent/; triage-agent.adapter.js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DMC-029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Story</w:t>
            </w:r>
          </w:p>
        </w:tc>
        <w:tc>
          <w:tcPr>
            <w:tcW w:type="dxa" w:w="60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S08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Aplicar sistema visual y accesibilidad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Interfaz responsive y clara</w:t>
            </w:r>
          </w:p>
        </w:tc>
        <w:tc>
          <w:tcPr>
            <w:tcW w:type="dxa" w:w="39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Foco labels aria modal Escape reduced motion tablas responsive</w:t>
            </w:r>
          </w:p>
        </w:tc>
        <w:tc>
          <w:tcPr>
            <w:tcW w:type="dxa" w:w="5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8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t>Alta</w:t>
            </w:r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Por iniciar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client/src/components; styles; DESIGN.md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DMC-030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Task</w:t>
            </w:r>
          </w:p>
        </w:tc>
        <w:tc>
          <w:tcPr>
            <w:tcW w:type="dxa" w:w="60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S08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Cubrir estados de red y errores del cliente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Recuperar errores sin perder contexto</w:t>
            </w:r>
          </w:p>
        </w:tc>
        <w:tc>
          <w:tcPr>
            <w:tcW w:type="dxa" w:w="39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Refresh una vez; loading/error/empty/success; no secretos</w:t>
            </w:r>
          </w:p>
        </w:tc>
        <w:tc>
          <w:tcPr>
            <w:tcW w:type="dxa" w:w="5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t>Alta</w:t>
            </w:r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Por iniciar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api.js; Skeleton; EmptyState; Toast; ErrorBoundary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DMC-031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Task</w:t>
            </w:r>
          </w:p>
        </w:tc>
        <w:tc>
          <w:tcPr>
            <w:tcW w:type="dxa" w:w="60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S08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Validar backend con unitarias e integración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Automatizar evidencia de comportamiento crítico</w:t>
            </w:r>
          </w:p>
        </w:tc>
        <w:tc>
          <w:tcPr>
            <w:tcW w:type="dxa" w:w="39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Auth permisos errores IA matching y API pasan; coverage umbrales</w:t>
            </w:r>
          </w:p>
        </w:tc>
        <w:tc>
          <w:tcPr>
            <w:tcW w:type="dxa" w:w="5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8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t>Alta</w:t>
            </w:r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Por iniciar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tests/; jest.config.js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DMC-032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Task</w:t>
            </w:r>
          </w:p>
        </w:tc>
        <w:tc>
          <w:tcPr>
            <w:tcW w:type="dxa" w:w="60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S08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Completar hardening producción y privacidad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Cerrar secretos retención backup auditoría y revisión legal</w:t>
            </w:r>
          </w:p>
        </w:tc>
        <w:tc>
          <w:tcPr>
            <w:tcW w:type="dxa" w:w="39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Controles operativos documentados y verificados</w:t>
            </w:r>
          </w:p>
        </w:tc>
        <w:tc>
          <w:tcPr>
            <w:tcW w:type="dxa" w:w="5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8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t>Media</w:t>
            </w:r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Por iniciar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README.md; app.js; docker-compose.yml; faltan tareas operativas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DMC-033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Story</w:t>
            </w:r>
          </w:p>
        </w:tc>
        <w:tc>
          <w:tcPr>
            <w:tcW w:type="dxa" w:w="60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S09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Implementar worker real de correo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Consumir outbox y enviar avisos con retry</w:t>
            </w:r>
          </w:p>
        </w:tc>
        <w:tc>
          <w:tcPr>
            <w:tcW w:type="dxa" w:w="39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Consume pendientes; plantilla; límite retry; idempotencia; logging</w:t>
            </w:r>
          </w:p>
        </w:tc>
        <w:tc>
          <w:tcPr>
            <w:tcW w:type="dxa" w:w="5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8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t>Media</w:t>
            </w:r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Por iniciar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Por crear: workers/email-worker.js; adaptador proveedor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DMC-034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Task</w:t>
            </w:r>
          </w:p>
        </w:tc>
        <w:tc>
          <w:tcPr>
            <w:tcW w:type="dxa" w:w="60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S09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Crear CI/CD del repositorio destino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Bloquear merges rotos</w:t>
            </w:r>
          </w:p>
        </w:tc>
        <w:tc>
          <w:tcPr>
            <w:tcW w:type="dxa" w:w="39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Pipeline lint tests coverage build audit migration</w:t>
            </w:r>
          </w:p>
        </w:tc>
        <w:tc>
          <w:tcPr>
            <w:tcW w:type="dxa" w:w="5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5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t>Media</w:t>
            </w:r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Por iniciar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Por crear: .github/workflows/ci.yml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DMC-035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Task</w:t>
            </w:r>
          </w:p>
        </w:tc>
        <w:tc>
          <w:tcPr>
            <w:tcW w:type="dxa" w:w="60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S09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Preparar observabilidad backup y carga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Operar y recuperar el sistema</w:t>
            </w:r>
          </w:p>
        </w:tc>
        <w:tc>
          <w:tcPr>
            <w:tcW w:type="dxa" w:w="39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Logs sin secretos; métricas; backup/restore; carga/concurrencia</w:t>
            </w:r>
          </w:p>
        </w:tc>
        <w:tc>
          <w:tcPr>
            <w:tcW w:type="dxa" w:w="5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8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t>Media</w:t>
            </w:r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Por iniciar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Por crear: scripts y docs de operación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DMC-036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Story</w:t>
            </w:r>
          </w:p>
        </w:tc>
        <w:tc>
          <w:tcPr>
            <w:tcW w:type="dxa" w:w="605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3"/>
              </w:rPr>
              <w:t>S09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Ejecutar piloto E2E y cerrar entrega</w:t>
            </w:r>
          </w:p>
        </w:tc>
        <w:tc>
          <w:tcPr>
            <w:tcW w:type="dxa" w:w="266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Demostrar flujo completo y documentar</w:t>
            </w:r>
          </w:p>
        </w:tc>
        <w:tc>
          <w:tcPr>
            <w:tcW w:type="dxa" w:w="396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Intake a estado final; evidencias; manual; presentación</w:t>
            </w:r>
          </w:p>
        </w:tc>
        <w:tc>
          <w:tcPr>
            <w:tcW w:type="dxa" w:w="5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8</w:t>
            </w:r>
          </w:p>
        </w:tc>
        <w:tc>
          <w:tcPr>
            <w:tcW w:type="dxa" w:w="79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>
              <w:t>Alta</w:t>
            </w:r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</w:r>
          </w:p>
        </w:tc>
        <w:tc>
          <w:tcPr>
            <w:tcW w:type="dxa" w:w="93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Por iniciar</w:t>
            </w:r>
          </w:p>
        </w:tc>
        <w:tc>
          <w:tcPr>
            <w:tcW w:type="dxa" w:w="208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README.md; docs/; tests/; falta paquete final de evidencia</w:t>
            </w:r>
          </w:p>
        </w:tc>
      </w:tr>
    </w:tbl>
    <w:p>
      <w:pPr>
        <w:spacing w:after="20"/>
      </w:pPr>
    </w:p>
    <w:p>
      <w:pPr>
        <w:sectPr>
          <w:pgSz w:w="15840" w:h="12240" w:orient="landscape"/>
          <w:pgMar w:top="648" w:right="576" w:bottom="648" w:left="576" w:header="432" w:footer="432" w:gutter="0"/>
          <w:cols w:space="720"/>
          <w:docGrid w:linePitch="360"/>
        </w:sectPr>
      </w:pPr>
    </w:p>
    <w:p>
      <w:pPr>
        <w:pStyle w:val="Heading1"/>
        <w:keepNext/>
        <w:spacing w:before="260" w:after="100"/>
      </w:pPr>
      <w:r>
        <w:rPr>
          <w:rFonts w:ascii="Arial" w:hAnsi="Arial"/>
          <w:b/>
          <w:i w:val="0"/>
          <w:color w:val="000000"/>
          <w:sz w:val="28"/>
        </w:rPr>
        <w:t>6 Dependencias y Definition of Por iniciar</w:t>
      </w:r>
    </w:p>
    <w:p>
      <w:pPr>
        <w:pStyle w:val="Heading2"/>
        <w:keepNext/>
        <w:spacing w:before="180" w:after="100"/>
      </w:pPr>
      <w:r>
        <w:rPr>
          <w:rFonts w:ascii="Arial" w:hAnsi="Arial"/>
          <w:b/>
          <w:i w:val="0"/>
          <w:color w:val="000000"/>
          <w:sz w:val="22"/>
        </w:rPr>
        <w:t>Dependencias críticas</w:t>
      </w:r>
    </w:p>
    <w:p>
      <w:pPr>
        <w:spacing w:before="0" w:after="120" w:line="269" w:lineRule="auto"/>
      </w:pPr>
      <w:r>
        <w:rPr>
          <w:rFonts w:ascii="Arial" w:hAnsi="Arial"/>
          <w:b w:val="0"/>
          <w:i w:val="0"/>
          <w:color w:val="202020"/>
          <w:sz w:val="20"/>
        </w:rPr>
        <w:t>La secuencia de entrega debe respetar la base de datos y la autenticación antes de probar los flujos protegidos; el matching depende de los datos de pacientes y estudiantes; la operación y la IA dependen del matching; el cierre de producción depende de las pruebas y de la revisión de seguridad.</w:t>
      </w:r>
    </w:p>
    <w:p>
      <w:pPr>
        <w:spacing w:after="20"/>
        <w:ind w:left="317"/>
      </w:pPr>
      <w:r>
        <w:rPr>
          <w:rFonts w:ascii="Courier New" w:hAnsi="Courier New"/>
          <w:b w:val="0"/>
          <w:i w:val="0"/>
          <w:color w:val="202020"/>
          <w:sz w:val="17"/>
        </w:rPr>
        <w:t>DMC-001 → DMC-002 → DMC-003 → DMC-004</w:t>
      </w:r>
    </w:p>
    <w:p>
      <w:pPr>
        <w:spacing w:after="20"/>
        <w:ind w:left="317"/>
      </w:pPr>
      <w:r>
        <w:rPr>
          <w:rFonts w:ascii="Courier New" w:hAnsi="Courier New"/>
          <w:b w:val="0"/>
          <w:i w:val="0"/>
          <w:color w:val="202020"/>
          <w:sz w:val="17"/>
        </w:rPr>
        <w:t>DMC-005 → DMC-006 → DMC-007 → DMC-008</w:t>
      </w:r>
    </w:p>
    <w:p>
      <w:pPr>
        <w:spacing w:after="20"/>
        <w:ind w:left="317"/>
      </w:pPr>
      <w:r>
        <w:rPr>
          <w:rFonts w:ascii="Courier New" w:hAnsi="Courier New"/>
          <w:b w:val="0"/>
          <w:i w:val="0"/>
          <w:color w:val="202020"/>
          <w:sz w:val="17"/>
        </w:rPr>
        <w:t>DMC-009 → DMC-010 → DMC-011 → DMC-012</w:t>
      </w:r>
    </w:p>
    <w:p>
      <w:pPr>
        <w:spacing w:after="20"/>
        <w:ind w:left="317"/>
      </w:pPr>
      <w:r>
        <w:rPr>
          <w:rFonts w:ascii="Courier New" w:hAnsi="Courier New"/>
          <w:b w:val="0"/>
          <w:i w:val="0"/>
          <w:color w:val="202020"/>
          <w:sz w:val="17"/>
        </w:rPr>
        <w:t>DMC-013 → DMC-014 → DMC-015 → DMC-016</w:t>
      </w:r>
    </w:p>
    <w:p>
      <w:pPr>
        <w:spacing w:after="20"/>
        <w:ind w:left="317"/>
      </w:pPr>
      <w:r>
        <w:rPr>
          <w:rFonts w:ascii="Courier New" w:hAnsi="Courier New"/>
          <w:b w:val="0"/>
          <w:i w:val="0"/>
          <w:color w:val="202020"/>
          <w:sz w:val="17"/>
        </w:rPr>
        <w:t>DMC-012 + DMC-014 + DMC-016 → DMC-017 → DMC-018 → DMC-019 → DMC-020</w:t>
      </w:r>
    </w:p>
    <w:p>
      <w:pPr>
        <w:spacing w:after="20"/>
        <w:ind w:left="317"/>
      </w:pPr>
      <w:r>
        <w:rPr>
          <w:rFonts w:ascii="Courier New" w:hAnsi="Courier New"/>
          <w:b w:val="0"/>
          <w:i w:val="0"/>
          <w:color w:val="202020"/>
          <w:sz w:val="17"/>
        </w:rPr>
        <w:t>DMC-020 → DMC-021 → DMC-022 + DMC-023 → DMC-024</w:t>
      </w:r>
    </w:p>
    <w:p>
      <w:pPr>
        <w:spacing w:after="20"/>
        <w:ind w:left="317"/>
      </w:pPr>
      <w:r>
        <w:rPr>
          <w:rFonts w:ascii="Courier New" w:hAnsi="Courier New"/>
          <w:b w:val="0"/>
          <w:i w:val="0"/>
          <w:color w:val="202020"/>
          <w:sz w:val="17"/>
        </w:rPr>
        <w:t>DMC-020 → DMC-025 + DMC-026 + DMC-027; DMC-017 → DMC-028</w:t>
      </w:r>
    </w:p>
    <w:p>
      <w:pPr>
        <w:spacing w:after="20"/>
        <w:ind w:left="317"/>
      </w:pPr>
      <w:r>
        <w:rPr>
          <w:rFonts w:ascii="Courier New" w:hAnsi="Courier New"/>
          <w:b w:val="0"/>
          <w:i w:val="0"/>
          <w:color w:val="202020"/>
          <w:sz w:val="17"/>
        </w:rPr>
        <w:t>DMC-029 + DMC-030 + DMC-031 → DMC-032 → DMC-033 + DMC-034 + DMC-035 → DMC-036</w:t>
      </w:r>
    </w:p>
    <w:p>
      <w:pPr>
        <w:pStyle w:val="Heading2"/>
        <w:keepNext/>
        <w:spacing w:before="180" w:after="100"/>
      </w:pPr>
      <w:r>
        <w:rPr>
          <w:rFonts w:ascii="Arial" w:hAnsi="Arial"/>
          <w:b/>
          <w:i w:val="0"/>
          <w:color w:val="000000"/>
          <w:sz w:val="22"/>
        </w:rPr>
        <w:t>Definition of Por iniciar común</w:t>
      </w:r>
    </w:p>
    <w:p>
      <w:pPr>
        <w:pStyle w:val="ListBullet"/>
        <w:spacing w:after="40" w:line="252" w:lineRule="auto"/>
        <w:ind w:left="288"/>
      </w:pPr>
      <w:r>
        <w:rPr>
          <w:rFonts w:ascii="Arial" w:hAnsi="Arial"/>
          <w:b w:val="0"/>
          <w:i w:val="0"/>
          <w:color w:val="202020"/>
          <w:sz w:val="19"/>
        </w:rPr>
        <w:t>El código está ubicado en la capa correcta y no duplica reglas existentes.</w:t>
      </w:r>
    </w:p>
    <w:p>
      <w:pPr>
        <w:pStyle w:val="ListBullet"/>
        <w:spacing w:after="40" w:line="252" w:lineRule="auto"/>
        <w:ind w:left="288"/>
      </w:pPr>
      <w:r>
        <w:rPr>
          <w:rFonts w:ascii="Arial" w:hAnsi="Arial"/>
          <w:b w:val="0"/>
          <w:i w:val="0"/>
          <w:color w:val="202020"/>
          <w:sz w:val="19"/>
        </w:rPr>
        <w:t>La entrada inválida, el error de red y el estado vacío tienen comportamiento definido.</w:t>
      </w:r>
    </w:p>
    <w:p>
      <w:pPr>
        <w:pStyle w:val="ListBullet"/>
        <w:spacing w:after="40" w:line="252" w:lineRule="auto"/>
        <w:ind w:left="288"/>
      </w:pPr>
      <w:r>
        <w:rPr>
          <w:rFonts w:ascii="Arial" w:hAnsi="Arial"/>
          <w:b w:val="0"/>
          <w:i w:val="0"/>
          <w:color w:val="202020"/>
          <w:sz w:val="19"/>
        </w:rPr>
        <w:t>Se actualizan pruebas, documentación y contrato API cuando corresponde.</w:t>
      </w:r>
    </w:p>
    <w:p>
      <w:pPr>
        <w:pStyle w:val="ListBullet"/>
        <w:spacing w:after="40" w:line="252" w:lineRule="auto"/>
        <w:ind w:left="288"/>
      </w:pPr>
      <w:r>
        <w:rPr>
          <w:rFonts w:ascii="Arial" w:hAnsi="Arial"/>
          <w:b w:val="0"/>
          <w:i w:val="0"/>
          <w:color w:val="202020"/>
          <w:sz w:val="19"/>
        </w:rPr>
        <w:t>Backend y frontend están probados en el flujo afectado.</w:t>
      </w:r>
    </w:p>
    <w:p>
      <w:pPr>
        <w:pStyle w:val="ListBullet"/>
        <w:spacing w:after="40" w:line="252" w:lineRule="auto"/>
        <w:ind w:left="288"/>
      </w:pPr>
      <w:r>
        <w:rPr>
          <w:rFonts w:ascii="Arial" w:hAnsi="Arial"/>
          <w:b w:val="0"/>
          <w:i w:val="0"/>
          <w:color w:val="202020"/>
          <w:sz w:val="19"/>
        </w:rPr>
        <w:t>No se suben .env, contraseñas, tokens, node_modules, coverage ni datasets locales.</w:t>
      </w:r>
    </w:p>
    <w:p>
      <w:pPr>
        <w:pStyle w:val="ListBullet"/>
        <w:spacing w:after="40" w:line="252" w:lineRule="auto"/>
        <w:ind w:left="288"/>
      </w:pPr>
      <w:r>
        <w:rPr>
          <w:rFonts w:ascii="Arial" w:hAnsi="Arial"/>
          <w:b w:val="0"/>
          <w:i w:val="0"/>
          <w:color w:val="202020"/>
          <w:sz w:val="19"/>
        </w:rPr>
        <w:t>La aceptación se demuestra con una prueba, llamada HTTP, captura o ejecución reproducible.</w:t>
      </w:r>
    </w:p>
    <w:p>
      <w:pPr>
        <w:pStyle w:val="Heading1"/>
        <w:keepNext/>
        <w:spacing w:before="260" w:after="100"/>
      </w:pPr>
      <w:r>
        <w:rPr>
          <w:rFonts w:ascii="Arial" w:hAnsi="Arial"/>
          <w:b/>
          <w:i w:val="0"/>
          <w:color w:val="000000"/>
          <w:sz w:val="28"/>
        </w:rPr>
        <w:t>7 Paquete del Sprint 1</w:t>
      </w:r>
    </w:p>
    <w:p>
      <w:pPr>
        <w:spacing w:before="0" w:after="120" w:line="269" w:lineRule="auto"/>
      </w:pPr>
      <w:r>
        <w:rPr>
          <w:rFonts w:ascii="Arial" w:hAnsi="Arial"/>
          <w:b w:val="0"/>
          <w:i w:val="0"/>
          <w:color w:val="202020"/>
          <w:sz w:val="20"/>
        </w:rPr>
        <w:t>El Sprint 1 entrega la base técnica y documental. Para que el BFF actual arranque sin imports rotos, el equipo debe copiar todo `src/`, aunque las historias de negocio se demuestren en sprints posteriores.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51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262626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Grupo</w:t>
            </w:r>
          </w:p>
        </w:tc>
        <w:tc>
          <w:tcPr>
            <w:tcW w:type="dxa" w:w="604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262626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Archivos o directorios</w:t>
            </w:r>
          </w:p>
        </w:tc>
        <w:tc>
          <w:tcPr>
            <w:tcW w:type="dxa" w:w="25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262626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Propósito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Configuración</w:t>
            </w:r>
          </w:p>
        </w:tc>
        <w:tc>
          <w:tcPr>
            <w:tcW w:type="dxa" w:w="60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package.json; package-lock.json; .env.example; .gitignore; .dockerignore; Dockerfile; docker-compose.yml; server.js</w:t>
            </w:r>
          </w:p>
        </w:tc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Instalación, entorno y arranque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Documentación</w:t>
            </w:r>
          </w:p>
        </w:tc>
        <w:tc>
          <w:tcPr>
            <w:tcW w:type="dxa" w:w="60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README.md; docs/PRODUCT.md; docs/ARCHITECTURE.md; docs/DESIGN.md</w:t>
            </w:r>
          </w:p>
        </w:tc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Alcance, arquitectura y dirección visual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Runtime</w:t>
            </w:r>
          </w:p>
        </w:tc>
        <w:tc>
          <w:tcPr>
            <w:tcW w:type="dxa" w:w="60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src/; scripts/; tests/; jest.config.js</w:t>
            </w:r>
          </w:p>
        </w:tc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Copia técnica mínima ejecutable y pruebas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Esquema</w:t>
            </w:r>
          </w:p>
        </w:tc>
        <w:tc>
          <w:tcPr>
            <w:tcW w:type="dxa" w:w="6048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src/infrastructure/database/migrations/; scripts/migrate.js</w:t>
            </w:r>
          </w:p>
        </w:tc>
        <w:tc>
          <w:tcPr>
            <w:tcW w:type="dxa" w:w="252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  <w:t>Tablas, relaciones, índices y versiones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80" w:after="100"/>
      </w:pPr>
      <w:r>
        <w:rPr>
          <w:rFonts w:ascii="Arial" w:hAnsi="Arial"/>
          <w:b/>
          <w:i w:val="0"/>
          <w:color w:val="000000"/>
          <w:sz w:val="22"/>
        </w:rPr>
        <w:t>Archivos que no se deben copiar</w:t>
      </w:r>
    </w:p>
    <w:p>
      <w:pPr>
        <w:spacing w:before="0" w:after="120" w:line="269" w:lineRule="auto"/>
      </w:pPr>
      <w:r>
        <w:rPr>
          <w:rFonts w:ascii="Arial" w:hAnsi="Arial"/>
          <w:b w:val="0"/>
          <w:i w:val="0"/>
          <w:color w:val="202020"/>
          <w:sz w:val="20"/>
        </w:rPr>
        <w:t>No enviar `.env`, `node_modules/`, `coverage/`, `data/local/` ni archivos `.log`. Crear el `.env` local a partir de `.env.example` y mantenerlo fuera del control de versiones.</w:t>
      </w:r>
    </w:p>
    <w:p>
      <w:pPr>
        <w:pStyle w:val="Heading2"/>
        <w:keepNext/>
        <w:spacing w:before="180" w:after="100"/>
      </w:pPr>
      <w:r>
        <w:rPr>
          <w:rFonts w:ascii="Arial" w:hAnsi="Arial"/>
          <w:b/>
          <w:i w:val="0"/>
          <w:color w:val="000000"/>
          <w:sz w:val="22"/>
        </w:rPr>
        <w:t>Criterios de aceptación del Sprint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108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262626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309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262626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Verificación</w:t>
            </w:r>
          </w:p>
        </w:tc>
        <w:tc>
          <w:tcPr>
            <w:tcW w:type="dxa" w:w="59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shd w:fill="262626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  <w:t>S1-AC1</w:t>
            </w:r>
          </w:p>
        </w:tc>
        <w:tc>
          <w:tcPr>
            <w:tcW w:type="dxa" w:w="30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7"/>
              </w:rPr>
              <w:t>npm ci</w:t>
            </w:r>
          </w:p>
        </w:tc>
        <w:tc>
          <w:tcPr>
            <w:tcW w:type="dxa" w:w="59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7"/>
              </w:rPr>
              <w:t>Dependencias backend instaladas sin error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  <w:t>S1-AC2</w:t>
            </w:r>
          </w:p>
        </w:tc>
        <w:tc>
          <w:tcPr>
            <w:tcW w:type="dxa" w:w="30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7"/>
              </w:rPr>
              <w:t>npm run migrate:status</w:t>
            </w:r>
          </w:p>
        </w:tc>
        <w:tc>
          <w:tcPr>
            <w:tcW w:type="dxa" w:w="59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7"/>
              </w:rPr>
              <w:t>Se consulta el estado de migraciones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  <w:t>S1-AC3</w:t>
            </w:r>
          </w:p>
        </w:tc>
        <w:tc>
          <w:tcPr>
            <w:tcW w:type="dxa" w:w="30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7"/>
              </w:rPr>
              <w:t>npm run migrate</w:t>
            </w:r>
          </w:p>
        </w:tc>
        <w:tc>
          <w:tcPr>
            <w:tcW w:type="dxa" w:w="59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7"/>
              </w:rPr>
              <w:t>Se crean o actualizan las tablas canónicas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  <w:t>S1-AC4</w:t>
            </w:r>
          </w:p>
        </w:tc>
        <w:tc>
          <w:tcPr>
            <w:tcW w:type="dxa" w:w="30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7"/>
              </w:rPr>
              <w:t>npm start</w:t>
            </w:r>
          </w:p>
        </w:tc>
        <w:tc>
          <w:tcPr>
            <w:tcW w:type="dxa" w:w="59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7"/>
              </w:rPr>
              <w:t>Express inicia con la configuración del entorno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  <w:t>S1-AC5</w:t>
            </w:r>
          </w:p>
        </w:tc>
        <w:tc>
          <w:tcPr>
            <w:tcW w:type="dxa" w:w="30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7"/>
              </w:rPr>
              <w:t>GET /api/health</w:t>
            </w:r>
          </w:p>
        </w:tc>
        <w:tc>
          <w:tcPr>
            <w:tcW w:type="dxa" w:w="59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7"/>
              </w:rPr>
              <w:t>JSON de salud sin secretos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  <w:t>S1-AC6</w:t>
            </w:r>
          </w:p>
        </w:tc>
        <w:tc>
          <w:tcPr>
            <w:tcW w:type="dxa" w:w="30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7"/>
              </w:rPr>
              <w:t>GET /api/info</w:t>
            </w:r>
          </w:p>
        </w:tc>
        <w:tc>
          <w:tcPr>
            <w:tcW w:type="dxa" w:w="59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7"/>
              </w:rPr>
              <w:t>Identidad y arquitectura sin credenciales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  <w:t>S1-AC7</w:t>
            </w:r>
          </w:p>
        </w:tc>
        <w:tc>
          <w:tcPr>
            <w:tcW w:type="dxa" w:w="30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7"/>
              </w:rPr>
              <w:t>npm test -- --runInBand</w:t>
            </w:r>
          </w:p>
        </w:tc>
        <w:tc>
          <w:tcPr>
            <w:tcW w:type="dxa" w:w="59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FFFFF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7"/>
              </w:rPr>
              <w:t>Pruebas base pasan o el bloqueo queda documentado</w:t>
            </w:r>
          </w:p>
        </w:tc>
      </w:tr>
      <w:tr>
        <w:tc>
          <w:tcPr>
            <w:tcW w:type="dxa" w:w="1080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ourier New" w:hAnsi="Courier New"/>
                <w:b w:val="0"/>
                <w:i w:val="0"/>
                <w:color w:val="202020"/>
                <w:sz w:val="17"/>
              </w:rPr>
              <w:t>S1-AC8</w:t>
            </w:r>
          </w:p>
        </w:tc>
        <w:tc>
          <w:tcPr>
            <w:tcW w:type="dxa" w:w="3096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7"/>
              </w:rPr>
              <w:t>Revisión de carpetas</w:t>
            </w:r>
          </w:p>
        </w:tc>
        <w:tc>
          <w:tcPr>
            <w:tcW w:type="dxa" w:w="5904"/>
            <w:vAlign w:val="center"/>
            <w:tcMar>
              <w:top w:w="90" w:type="dxa"/>
              <w:start w:w="95" w:type="dxa"/>
              <w:bottom w:w="90" w:type="dxa"/>
              <w:end w:w="95" w:type="dxa"/>
            </w:tcMar>
            <w:shd w:fill="F2F2F2" w:val="clea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7"/>
              </w:rPr>
              <w:t>No hay secretos ni SQL de negocio en las rutas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60" w:after="100"/>
      </w:pPr>
      <w:r>
        <w:rPr>
          <w:rFonts w:ascii="Arial" w:hAnsi="Arial"/>
          <w:b/>
          <w:i w:val="0"/>
          <w:color w:val="000000"/>
          <w:sz w:val="28"/>
        </w:rPr>
        <w:t>8 Evidencia técnica</w:t>
      </w:r>
    </w:p>
    <w:p>
      <w:pPr>
        <w:spacing w:before="0" w:after="120" w:line="269" w:lineRule="auto"/>
      </w:pPr>
      <w:r>
        <w:rPr>
          <w:rFonts w:ascii="Arial" w:hAnsi="Arial"/>
          <w:b w:val="0"/>
          <w:i w:val="0"/>
          <w:color w:val="202020"/>
          <w:sz w:val="20"/>
        </w:rPr>
        <w:t>La validación prevista contempla pruebas backend y frontend, build de producción, migraciones y control de calidad. El backlog contiene 8 épicas, 25 historias y 11 tareas planificadas.</w:t>
      </w:r>
    </w:p>
    <w:p>
      <w:pPr>
        <w:spacing w:after="20"/>
        <w:ind w:left="317"/>
      </w:pPr>
      <w:r>
        <w:rPr>
          <w:rFonts w:ascii="Courier New" w:hAnsi="Courier New"/>
          <w:b w:val="0"/>
          <w:i w:val="0"/>
          <w:color w:val="202020"/>
          <w:sz w:val="17"/>
        </w:rPr>
        <w:t>npm test -- --runInBand</w:t>
      </w:r>
    </w:p>
    <w:p>
      <w:pPr>
        <w:spacing w:after="20"/>
        <w:ind w:left="317"/>
      </w:pPr>
      <w:r>
        <w:rPr>
          <w:rFonts w:ascii="Courier New" w:hAnsi="Courier New"/>
          <w:b w:val="0"/>
          <w:i w:val="0"/>
          <w:color w:val="202020"/>
          <w:sz w:val="17"/>
        </w:rPr>
        <w:t>npm run lint</w:t>
      </w:r>
    </w:p>
    <w:p>
      <w:pPr>
        <w:spacing w:after="20"/>
        <w:ind w:left="317"/>
      </w:pPr>
      <w:r>
        <w:rPr>
          <w:rFonts w:ascii="Courier New" w:hAnsi="Courier New"/>
          <w:b w:val="0"/>
          <w:i w:val="0"/>
          <w:color w:val="202020"/>
          <w:sz w:val="17"/>
        </w:rPr>
        <w:t>npm --prefix client run lint</w:t>
      </w:r>
    </w:p>
    <w:p>
      <w:pPr>
        <w:spacing w:after="20"/>
        <w:ind w:left="317"/>
      </w:pPr>
      <w:r>
        <w:rPr>
          <w:rFonts w:ascii="Courier New" w:hAnsi="Courier New"/>
          <w:b w:val="0"/>
          <w:i w:val="0"/>
          <w:color w:val="202020"/>
          <w:sz w:val="17"/>
        </w:rPr>
        <w:t>npm --prefix client run build</w:t>
      </w:r>
    </w:p>
    <w:p>
      <w:pPr>
        <w:spacing w:after="20"/>
        <w:ind w:left="317"/>
      </w:pPr>
      <w:r>
        <w:rPr>
          <w:rFonts w:ascii="Courier New" w:hAnsi="Courier New"/>
          <w:b w:val="0"/>
          <w:i w:val="0"/>
          <w:color w:val="202020"/>
          <w:sz w:val="17"/>
        </w:rPr>
        <w:t>docker compose config --quiet</w:t>
      </w:r>
    </w:p>
    <w:p>
      <w:pPr>
        <w:spacing w:after="20"/>
        <w:ind w:left="317"/>
      </w:pPr>
      <w:r>
        <w:rPr>
          <w:rFonts w:ascii="Courier New" w:hAnsi="Courier New"/>
          <w:b w:val="0"/>
          <w:i w:val="0"/>
          <w:color w:val="202020"/>
          <w:sz w:val="17"/>
        </w:rPr>
        <w:t>npm run migrate:status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/>
        <w:b w:val="0"/>
        <w:i w:val="0"/>
        <w:color w:val="595959"/>
        <w:sz w:val="16"/>
      </w:rPr>
      <w:t xml:space="preserve">DentalMatch Capstone  |  Plan Jira  |  Página </w:t>
    </w:r>
    <w:r>
      <w:rPr>
        <w:rFonts w:ascii="Arial" w:hAnsi="Arial"/>
        <w:b w:val="0"/>
        <w:i w:val="0"/>
        <w:color w:val="595959"/>
        <w:sz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/>
        <w:b w:val="0"/>
        <w:i w:val="0"/>
        <w:color w:val="595959"/>
        <w:sz w:val="16"/>
      </w:rPr>
      <w:t xml:space="preserve">DentalMatch Capstone  |  Plan Jira  |  Página </w:t>
    </w:r>
    <w:r>
      <w:rPr>
        <w:rFonts w:ascii="Arial" w:hAnsi="Arial"/>
        <w:b w:val="0"/>
        <w:i w:val="0"/>
        <w:color w:val="595959"/>
        <w:sz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hAnsi="Arial"/>
        <w:b w:val="0"/>
        <w:i w:val="0"/>
        <w:color w:val="595959"/>
        <w:sz w:val="16"/>
      </w:rPr>
      <w:t xml:space="preserve">DentalMatch Capstone  |  Plan Jira  |  Página </w:t>
    </w:r>
    <w:r>
      <w:rPr>
        <w:rFonts w:ascii="Arial" w:hAnsi="Arial"/>
        <w:b w:val="0"/>
        <w:i w:val="0"/>
        <w:color w:val="595959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0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DentalMatch Capstone Backlog Jira y Plan de Hitos</dc:title>
  <dc:subject>Plan de producto y entrega para 18 semanas</dc:subject>
  <dc:creator>DentalMatch Team</dc:creator>
  <cp:keywords>DentalMatch, Jira, backlog, sprints, odontología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