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9">
        <w:r>
          <w:rPr>
            <w:rStyle w:val="Hyperlink"/>
          </w:rPr>
          <w:t xml:space="preserve">https://zkleong.github.io/</w:t>
        </w:r>
      </w:hyperlink>
    </w:p>
    <w:bookmarkStart w:id="1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10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12"/>
    <w:bookmarkStart w:id="13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Assistant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December 2018 - February 2019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13"/>
    <w:bookmarkStart w:id="14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14"/>
    <w:bookmarkStart w:id="1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15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6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7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 Perceived Trust and Confidence for Cryptocurrency Adoption: What Lies Ahead?. In P. C. Lai (Ed), Handbook of Research on Social Impacts of E-Payment and Blockchain Technology (pp. 250 – 279). IGI Global.</w:t>
      </w:r>
    </w:p>
    <w:bookmarkEnd w:id="18"/>
    <w:bookmarkStart w:id="20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Poh, Y.H., Cook, D., Lydeamore, M. (2025). Transforming MDR-AB surveillance into ICU safety. Presented at Alfred Health.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Data-driven pandemic resilience against drug-resistant bacteria in ICU: Transforming monitoring data into ICU safety. Presented at Doctoral Colloquium 2025, School of Business, Monash University, Australia.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Patient demographic changes during COVID-19 affect risk factors for healthcare-associated infection in ICU. Presented at Australia Statistical Conference 2025, Curtin University, Perth, Australia. December 2025.</w:t>
      </w:r>
    </w:p>
    <w:p>
      <w:pPr>
        <w:pStyle w:val="BodyText"/>
      </w:pPr>
      <w:hyperlink r:id="rId19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20"/>
    <w:bookmarkStart w:id="21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MIDSEA Summer School 2026 (Inference track)</w:t>
      </w:r>
      <w:r>
        <w:t xml:space="preserve"> </w:t>
      </w:r>
      <w:r>
        <w:t xml:space="preserve"> </w:t>
      </w:r>
      <w:r>
        <w:rPr>
          <w:i/>
          <w:iCs/>
        </w:rPr>
        <w:t xml:space="preserve">UNIMAS and MIDSEA</w:t>
      </w:r>
      <w:r>
        <w:t xml:space="preserve"> </w:t>
      </w:r>
      <w:r>
        <w:t xml:space="preserve">2026</w:t>
      </w:r>
    </w:p>
    <w:p>
      <w:pPr>
        <w:pStyle w:val="BodyText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21"/>
    <w:bookmarkStart w:id="24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First Place</w:t>
      </w:r>
      <w:r>
        <w:t xml:space="preserve"> </w:t>
      </w:r>
      <w:r>
        <w:t xml:space="preserve"> </w:t>
      </w:r>
      <w:r>
        <w:rPr>
          <w:i/>
          <w:iCs/>
        </w:rPr>
        <w:t xml:space="preserve">Pathogen Panic AMR Case Competition by Monash Centre to Impact AMR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7"/>
        </w:numPr>
      </w:pPr>
      <w:r>
        <w:t xml:space="preserve">Designed an evidence-based outbreak response strategy for a novel pathogen</w:t>
      </w:r>
    </w:p>
    <w:p>
      <w:pPr>
        <w:pStyle w:val="Compact"/>
        <w:numPr>
          <w:ilvl w:val="0"/>
          <w:numId w:val="1007"/>
        </w:numPr>
      </w:pPr>
      <w:r>
        <w:t xml:space="preserve">Presented via video pitch.</w:t>
      </w:r>
    </w:p>
    <w:p>
      <w:pPr>
        <w:pStyle w:val="Compact"/>
        <w:numPr>
          <w:ilvl w:val="0"/>
          <w:numId w:val="1007"/>
        </w:numPr>
      </w:pPr>
      <w:r>
        <w:t xml:space="preserve">Awarded against international field.</w:t>
      </w:r>
    </w:p>
    <w:p>
      <w:pPr>
        <w:pStyle w:val="FirstParagraph"/>
      </w:pPr>
      <w:r>
        <w:rPr>
          <w:b/>
          <w:bCs/>
        </w:rPr>
        <w:t xml:space="preserve">National Champion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8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8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8"/>
        </w:numPr>
      </w:pPr>
      <w:hyperlink r:id="rId23">
        <w:r>
          <w:rPr>
            <w:rStyle w:val="Hyperlink"/>
          </w:rPr>
          <w:t xml:space="preserve">Story</w:t>
        </w:r>
      </w:hyperlink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2026-07-30T08:04:15Z</dcterms:created>
  <dcterms:modified xsi:type="dcterms:W3CDTF">2026-07-30T08:04:15Z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