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 w:cs="宋体"/>
          <w:b/>
          <w:sz w:val="24"/>
        </w:rPr>
        <w:t>周报</w:t>
      </w:r>
    </w:p>
    <w:p>
      <w:pPr>
        <w:jc w:val="center"/>
      </w:pPr>
      <w:r>
        <w:rPr>
          <w:rFonts w:ascii="宋体" w:hAnsi="宋体" w:eastAsia="宋体" w:cs="宋体"/>
          <w:sz w:val="24"/>
        </w:rPr>
        <w:t>2026年 6 月 29 日------- 2026 年 7 月 3 日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972"/>
            <w:gridSpan w:val="4"/>
            <w:vAlign w:val="center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  <w:jc w:val="center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/>
                <w:sz w:val="24"/>
              </w:rPr>
              <w:t>本周完成</w:t>
            </w:r>
          </w:p>
        </w:tc>
      </w:tr>
      <w:tr>
        <w:tc>
          <w:tcPr>
            <w:tcW w:type="dxa" w:w="9972"/>
            <w:gridSpan w:val="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 w:val="0"/>
                <w:sz w:val="24"/>
              </w:rPr>
              <w:t>本周重点完成用户端核心业务功能开发和云服务接入。后端实现 JWT 登录认证机制，登录成功后返回 token，前端在请求业务接口时统一携带 Authorization 请求头，从而保证个人中心、简历管理、我的投递等页面能够识别当前登录用户。</w:t>
            </w:r>
            <w:r>
              <w:rPr>
                <w:rFonts w:ascii="宋体" w:hAnsi="宋体" w:eastAsia="宋体" w:cs="宋体"/>
                <w:sz w:val="24"/>
              </w:rPr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</w:r>
            <w:r>
              <w:rPr>
                <w:rFonts w:ascii="宋体" w:hAnsi="宋体" w:eastAsia="宋体" w:cs="宋体"/>
                <w:sz w:val="24"/>
              </w:rPr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在业务功能方面，完成求职偏好保存与查询、岗位列表筛选、岗位详情展示、岗位推荐、岗位收藏、简历新增编辑、岗位投递和投递进度查看等模块。用户可以根据行业、岗位、城市、岗位类型和薪资范围设置求职偏好，系统根据偏好和岗位信息进行匹配推荐。前端页面与后端接口进行了多轮联调，修复了部分字段命名不一致、数据为空时页面展示异常等问题。</w:t>
            </w:r>
            <w:r>
              <w:rPr>
                <w:rFonts w:ascii="宋体" w:hAnsi="宋体" w:eastAsia="宋体" w:cs="宋体"/>
                <w:sz w:val="24"/>
              </w:rPr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</w:r>
            <w:r>
              <w:rPr>
                <w:rFonts w:ascii="宋体" w:hAnsi="宋体" w:eastAsia="宋体" w:cs="宋体"/>
                <w:sz w:val="24"/>
              </w:rPr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同时，本周接入 DeepSeek 大模型能力，实现 AI 岗位匹配分析、AI 简历优化建议和 AI 模拟面试功能，并设计规则兜底逻辑，保证 AI 接口不可用时系统仍能返回可展示结果。文件上传方面完成阿里云 OSS 配置，头像、政策申报材料和社保申请材料优先上传到 OSS，数据库保存文件访问地址；当 OSS 配置异常或上传失败时，后端自动回退到本地上传目录。</w:t>
            </w:r>
          </w:p>
        </w:tc>
      </w:tr>
      <w:tr>
        <w:tc>
          <w:tcPr>
            <w:tcW w:type="dxa" w:w="9972"/>
            <w:gridSpan w:val="4"/>
            <w:vAlign w:val="center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  <w:jc w:val="center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/>
                <w:sz w:val="24"/>
              </w:rPr>
              <w:t>下周安排</w:t>
            </w:r>
          </w:p>
        </w:tc>
      </w:tr>
      <w:tr>
        <w:tc>
          <w:tcPr>
            <w:tcW w:type="dxa" w:w="9972"/>
            <w:gridSpan w:val="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 w:val="0"/>
                <w:sz w:val="24"/>
              </w:rPr>
              <w:t>下周计划继续优化系统运行和协作开发能力，加入 Redis 缓存和图形验证码功能，统一数据库、OSS、DeepSeek、JWT 等配置的环境变量管理方式，接入 Knife4j 接口文档，并尝试使用 Docker Compose 部署前端、后端和 Redis 服务。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  <w:jc w:val="center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/>
                <w:sz w:val="24"/>
              </w:rPr>
              <w:t>指导教师评语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 w:val="0"/>
                <w:sz w:val="24"/>
              </w:rPr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  <w:jc w:val="center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/>
                <w:sz w:val="24"/>
              </w:rPr>
              <w:t>进  度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24" w:lineRule="auto" w:after="0"/>
              <w:jc w:val="center"/>
            </w:pPr>
            <w:r>
              <w:rPr>
                <w:rFonts w:ascii="宋体" w:hAnsi="宋体" w:eastAsia="宋体" w:cs="宋体"/>
                <w:sz w:val="24"/>
              </w:rPr>
            </w:r>
            <w:r>
              <w:rPr>
                <w:rFonts w:ascii="宋体" w:hAnsi="宋体" w:eastAsia="宋体" w:cs="宋体"/>
                <w:b w:val="0"/>
                <w:sz w:val="24"/>
              </w:rPr>
              <w:t>较快 / 正常 / 较慢</w:t>
            </w:r>
          </w:p>
        </w:tc>
      </w:tr>
    </w:tbl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