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7839D">
      <w:pPr>
        <w:jc w:val="center"/>
      </w:pPr>
      <w:r>
        <w:rPr>
          <w:rFonts w:ascii="宋体" w:hAnsi="宋体" w:eastAsia="宋体" w:cs="宋体"/>
          <w:b/>
          <w:sz w:val="24"/>
        </w:rPr>
        <w:t>周报</w:t>
      </w:r>
    </w:p>
    <w:p w14:paraId="231E065D">
      <w:pPr>
        <w:jc w:val="center"/>
      </w:pPr>
      <w:r>
        <w:rPr>
          <w:rFonts w:ascii="宋体" w:hAnsi="宋体" w:eastAsia="宋体" w:cs="宋体"/>
          <w:sz w:val="24"/>
        </w:rPr>
        <w:t>2026年 7 月 6 日------- 2026 年 7 月 10 日</w:t>
      </w:r>
    </w:p>
    <w:p w14:paraId="50EE814A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43344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gridSpan w:val="4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77E16">
            <w:pPr>
              <w:spacing w:after="0" w:line="324" w:lineRule="auto"/>
              <w:jc w:val="center"/>
            </w:pPr>
            <w:r>
              <w:rPr>
                <w:rFonts w:ascii="宋体" w:hAnsi="宋体" w:eastAsia="宋体" w:cs="宋体"/>
                <w:b/>
                <w:sz w:val="24"/>
              </w:rPr>
              <w:t>本周完成</w:t>
            </w:r>
          </w:p>
        </w:tc>
      </w:tr>
      <w:tr w14:paraId="1A2C7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gridSpan w:val="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C5DB8">
            <w:pPr>
              <w:spacing w:after="0" w:line="324" w:lineRule="auto"/>
            </w:pPr>
            <w:r>
              <w:rPr>
                <w:rFonts w:ascii="宋体" w:hAnsi="宋体" w:eastAsia="宋体" w:cs="宋体"/>
                <w:b w:val="0"/>
                <w:sz w:val="24"/>
              </w:rPr>
              <w:t>本周主要完成系统优化、接口文档、容器化部署和最终联调测试。首先引入 Redis，用于缓存用户首页中访问频率较高的数据，包括推荐岗位、公告列表和政策列表，减少对 TiDB Cloud 云数据库的重复查询。同时使用 Redis 保存登录和注册图形验证码，设置验证码有效期并在校验成功后立即删除，提升登录注册流程的安全性。</w:t>
            </w:r>
            <w:r>
              <w:rPr>
                <w:rFonts w:ascii="宋体" w:hAnsi="宋体" w:eastAsia="宋体" w:cs="宋体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sz w:val="24"/>
              </w:rPr>
              <w:t>配置管理方面，将数据库连接、Redis 地址、阿里云 OSS、DeepSeek API Key、JWT 密钥、上传目录等信息统一改为环境变量读取，并提供 .env.example 示例文件，避免把敏感配置直接写入代码。接口文档方面接入 Knife4j，配置用户端接口扫描范围，通过 doc.html 页面查看和调试登录、验证码、岗位、简历、投递、政策、社保和 AI 相关接口。</w:t>
            </w:r>
            <w:r>
              <w:rPr>
                <w:rFonts w:ascii="宋体" w:hAnsi="宋体" w:eastAsia="宋体" w:cs="宋体"/>
                <w:sz w:val="24"/>
              </w:rPr>
              <w:br w:type="textWrapping"/>
            </w:r>
            <w:bookmarkStart w:id="0" w:name="_GoBack"/>
            <w:bookmarkEnd w:id="0"/>
            <w:r>
              <w:rPr>
                <w:rFonts w:ascii="宋体" w:hAnsi="宋体" w:eastAsia="宋体" w:cs="宋体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sz w:val="24"/>
              </w:rPr>
              <w:t>部署方面编写后端 Dockerfile、前端 Dockerfile、Nginx 配置和 docker-compose.yml，实现前端、后端、Redis 三个服务的一键启动。Docker 部署后前端通过 18073 端口访问，后端通过 18080 端口访问，Knife4j 文档也可正常打开。最后与企业端、管理员端成员使用同一个 TiDB Cloud 云数据库进行联调，验证用户投递岗位后企业端能够查看对应投递记录，并检查头像上传、材料上传、验证码登录、AI 分析和 Docker 启动等功能，整体达到课程设计演示要求。</w:t>
            </w:r>
          </w:p>
        </w:tc>
      </w:tr>
      <w:tr w14:paraId="14C11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gridSpan w:val="4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237CA">
            <w:pPr>
              <w:spacing w:after="0" w:line="324" w:lineRule="auto"/>
              <w:jc w:val="center"/>
            </w:pPr>
            <w:r>
              <w:rPr>
                <w:rFonts w:ascii="宋体" w:hAnsi="宋体" w:eastAsia="宋体" w:cs="宋体"/>
                <w:b/>
                <w:sz w:val="24"/>
              </w:rPr>
              <w:t>下周安排</w:t>
            </w:r>
          </w:p>
        </w:tc>
      </w:tr>
      <w:tr w14:paraId="26D6E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gridSpan w:val="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53EF0">
            <w:pPr>
              <w:spacing w:after="0" w:line="324" w:lineRule="auto"/>
            </w:pPr>
            <w:r>
              <w:rPr>
                <w:rFonts w:ascii="宋体" w:hAnsi="宋体" w:eastAsia="宋体" w:cs="宋体"/>
                <w:b w:val="0"/>
                <w:sz w:val="24"/>
              </w:rPr>
              <w:t>后续计划进一步完善课程设计报告和答辩材料，补充关键页面截图、接口测试结果和部署说明；同时继续进行异常场景测试，例如 Redis 未启动、OSS 上传失败、AI 接口不可用、云数据库连接异常等情况，确保答辩演示时系统运行稳定。</w:t>
            </w:r>
          </w:p>
        </w:tc>
      </w:tr>
      <w:tr w14:paraId="0B134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4BE86">
            <w:pPr>
              <w:spacing w:after="0" w:line="324" w:lineRule="auto"/>
              <w:jc w:val="center"/>
            </w:pPr>
            <w:r>
              <w:rPr>
                <w:rFonts w:ascii="宋体" w:hAnsi="宋体" w:eastAsia="宋体" w:cs="宋体"/>
                <w:b/>
                <w:sz w:val="24"/>
              </w:rPr>
              <w:t>指导教师评语</w:t>
            </w:r>
          </w:p>
        </w:tc>
        <w:tc>
          <w:tcPr>
            <w:tcW w:w="249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F4FC2">
            <w:pPr>
              <w:spacing w:after="0" w:line="324" w:lineRule="auto"/>
            </w:pPr>
          </w:p>
        </w:tc>
        <w:tc>
          <w:tcPr>
            <w:tcW w:w="249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F43DA">
            <w:pPr>
              <w:spacing w:after="0" w:line="324" w:lineRule="auto"/>
              <w:jc w:val="center"/>
            </w:pPr>
            <w:r>
              <w:rPr>
                <w:rFonts w:ascii="宋体" w:hAnsi="宋体" w:eastAsia="宋体" w:cs="宋体"/>
                <w:b/>
                <w:sz w:val="24"/>
              </w:rPr>
              <w:t>进  度</w:t>
            </w:r>
          </w:p>
        </w:tc>
        <w:tc>
          <w:tcPr>
            <w:tcW w:w="249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7A595">
            <w:pPr>
              <w:spacing w:after="0" w:line="324" w:lineRule="auto"/>
              <w:jc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较快 / 正常 / 较慢</w:t>
            </w:r>
          </w:p>
        </w:tc>
      </w:tr>
    </w:tbl>
    <w:p w14:paraId="2AC4889B"/>
    <w:sectPr>
      <w:pgSz w:w="12240" w:h="15840"/>
      <w:pgMar w:top="1247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3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577</Words>
  <Characters>731</Characters>
  <Lines>0</Lines>
  <Paragraphs>0</Paragraphs>
  <TotalTime>0</TotalTime>
  <ScaleCrop>false</ScaleCrop>
  <LinksUpToDate>false</LinksUpToDate>
  <CharactersWithSpaces>786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张康宁</cp:lastModifiedBy>
  <dcterms:modified xsi:type="dcterms:W3CDTF">2026-06-24T08:52:14Z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eyJoZGlkIjoiZTA3OTczMmUwYzM4M2ZiODUzNzNiM2YxMTE2ZTMzYTAiLCJ1c2VySWQiOiIxNTI1Nzg2Mjk4In0=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99B8AB97FAA54EAAA7958682B75D207B_12</vt:lpwstr>
  </property>
</Properties>
</file>