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4.11 (Apache licensed) using REFERENCE JAXB in Amazon.com Inc. Java 17.0.19 on Linux -->
    <w:p>
      <w:pPr>
        <w:spacing w:before="0" w:after="0"/>
        <w:ind w:left="0"/>
        <w:jc w:val="left"/>
      </w:pPr>
      <w:r>
        <w:rPr>
          <w:rFonts w:ascii="Times New Roman" w:hAnsi="Times New Roman"/>
          <w:b w:val="false"/>
          <w:i w:val="false"/>
          <w:color w:val="000000"/>
          <w:sz w:val="22"/>
        </w:rPr>
        <w:t xml:space="preserve"> </w:t>
      </w:r>
      <w:r>
        <w:rPr>
          <w:rFonts w:ascii="Times New Roman" w:hAnsi="Times New Roman"/>
          <w:b/>
          <w:i w:val="false"/>
          <w:color w:val="000000"/>
          <w:sz w:val="22"/>
        </w:rPr>
        <w:t xml:space="preserve">DLA26BZ02-NV008: </w:t>
      </w:r>
      <w:r>
        <w:rPr>
          <w:rFonts w:ascii="Times New Roman" w:hAnsi="Times New Roman"/>
          <w:b/>
          <w:i w:val="false"/>
          <w:color w:val="000000"/>
          <w:sz w:val="22"/>
          <w:u w:val="single"/>
        </w:rPr>
        <w:t>US Based Fixture Development and Manufacturing</w:t>
      </w:r>
      <w:r>
        <w:br/>
      </w:r>
      <w:r>
        <w:rPr>
          <w:rFonts w:ascii="Times New Roman" w:hAnsi="Times New Roman"/>
          <w:b w:val="false"/>
          <w:i w:val="false"/>
          <w:color w:val="000000"/>
          <w:sz w:val="22"/>
        </w:rPr>
        <w:t xml:space="preserve"> </w:t>
      </w:r>
    </w:p>
    <w:p>
      <w:pPr>
        <w:spacing w:before="0" w:after="0"/>
        <w:ind w:left="0"/>
        <w:jc w:val="left"/>
      </w:pPr>
      <w:r>
        <w:rPr>
          <w:rFonts w:ascii="Times New Roman" w:hAnsi="Times New Roman"/>
          <w:b/>
          <w:i w:val="false"/>
          <w:color w:val="000000"/>
          <w:sz w:val="22"/>
        </w:rPr>
        <w:t>PROJECTED CMMC LEVEL REQUIREMENT:</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Level 2 (Self)</w:t>
      </w:r>
    </w:p>
    <w:p>
      <w:pPr>
        <w:spacing w:before="0" w:after="0"/>
        <w:ind w:left="0"/>
        <w:jc w:val="left"/>
      </w:pPr>
      <w:r>
        <w:rPr>
          <w:rFonts w:ascii="Times New Roman" w:hAnsi="Times New Roman"/>
          <w:b/>
          <w:i w:val="false"/>
          <w:color w:val="000000"/>
          <w:sz w:val="22"/>
        </w:rPr>
        <w:t>TECHNOLOGY AREAS:</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None</w:t>
      </w:r>
    </w:p>
    <w:p>
      <w:pPr>
        <w:spacing w:before="0" w:after="0"/>
        <w:ind w:left="0"/>
        <w:jc w:val="left"/>
      </w:pPr>
      <w:r>
        <w:rPr>
          <w:rFonts w:ascii="Times New Roman" w:hAnsi="Times New Roman"/>
          <w:b/>
          <w:i w:val="false"/>
          <w:color w:val="000000"/>
          <w:sz w:val="22"/>
        </w:rPr>
        <w:t>MODERNIZATION PRIORITIES:</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Advanced Materials | Mission Readiness &amp; Disaster Preparedness | Nuclear | Sustainment &amp; Logistics</w:t>
      </w:r>
    </w:p>
    <w:p>
      <w:pPr>
        <w:spacing w:before="0" w:after="0"/>
        <w:ind w:left="0"/>
        <w:jc w:val="left"/>
      </w:pPr>
      <w:r>
        <w:rPr>
          <w:rFonts w:ascii="Times New Roman" w:hAnsi="Times New Roman"/>
          <w:b/>
          <w:i w:val="false"/>
          <w:color w:val="000000"/>
          <w:sz w:val="22"/>
        </w:rPr>
        <w:t>KEYWORDS:</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Sea, Materials</w:t>
      </w:r>
    </w:p>
    <w:p>
      <w:pPr>
        <w:spacing w:before="0" w:after="0"/>
        <w:ind w:left="0"/>
        <w:jc w:val="left"/>
      </w:pPr>
      <w:r>
        <w:rPr>
          <w:rFonts w:ascii="Times New Roman" w:hAnsi="Times New Roman"/>
          <w:b/>
          <w:i w:val="false"/>
          <w:color w:val="000000"/>
          <w:sz w:val="22"/>
        </w:rPr>
        <w:t>ADDITIONAL INFORMATION</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N/A</w:t>
      </w:r>
    </w:p>
    <w:p>
      <w:pPr>
        <w:spacing w:before="0" w:after="0"/>
        <w:ind w:left="0"/>
        <w:jc w:val="left"/>
      </w:pPr>
      <w:r>
        <w:rPr>
          <w:rFonts w:ascii="Times New Roman" w:hAnsi="Times New Roman"/>
          <w:b/>
          <w:i w:val="false"/>
          <w:color w:val="000000"/>
          <w:sz w:val="22"/>
        </w:rPr>
        <w:t>OBJECTIVE:</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The objective of this SBIR is to establish and demonstrate a rapid-response manufacturing capability that directly addresses critical maintenance delays in Navy shipyards. This capability will empower DLA to source custom or replacement fixtures in days, not months, by enabling agile partners to rapidly design, reverse-engineer, and fabricate tools, even when original technical data is missing. The ultimate goal is to build a foundation for the responsive manufacturing network needed to keep our naval fleet ready</w:t>
      </w:r>
    </w:p>
    <w:p>
      <w:pPr>
        <w:spacing w:before="0" w:after="0"/>
        <w:ind w:left="0"/>
        <w:jc w:val="left"/>
      </w:pPr>
      <w:r>
        <w:rPr>
          <w:rFonts w:ascii="Times New Roman" w:hAnsi="Times New Roman"/>
          <w:b/>
          <w:i w:val="false"/>
          <w:color w:val="000000"/>
          <w:sz w:val="22"/>
        </w:rPr>
        <w:t>ITAR:</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The technology within this topic is restricted under the International Traffic in Arms Regulation (ITAR), 22 CFR Parts 120-130, which controls the export and import of defense-related material and services, including export of sensitive technical data, or the Export Administration Regulation (EAR), 15 CFR Parts 730-774, which controls dual use items. Offerors must disclose any proposed use of foreign nationals (FNs), their country(ies) of origin, the type of visa or work permit possessed, and the statement of work (SOW) tasks intended for accomplishment by the FN(s) in accordance with section 3.5 of the Announcement. Offerors are advised foreign nationals proposed to perform on this topic may be restricted due to the technical data under US Export Control Laws.</w:t>
      </w:r>
    </w:p>
    <w:p>
      <w:pPr>
        <w:spacing w:before="0" w:after="0"/>
        <w:ind w:left="0"/>
        <w:jc w:val="left"/>
      </w:pPr>
      <w:r>
        <w:rPr>
          <w:rFonts w:ascii="Times New Roman" w:hAnsi="Times New Roman"/>
          <w:b/>
          <w:i w:val="false"/>
          <w:color w:val="000000"/>
          <w:sz w:val="22"/>
        </w:rPr>
        <w:t>DESCRIPTION:</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When Navy ships enter the port for maintenance, work often stops because a single, specialized tool or fixture is broken, missing, or was never designed. Sourcing a replacement can take months, idling entire maintenance teams and delaying the ship's return to the fleet. DLA needs a network of responsive, U.S.-based manufacturing partners who can quickly build these custom and replacement fixtures, turning a critical vulnerability in our maritime supply chain into a domestic manufacturing strength.</w:t>
      </w:r>
    </w:p>
    <w:p>
      <w:pPr>
        <w:spacing w:before="0" w:after="0"/>
        <w:ind w:left="0"/>
        <w:jc w:val="left"/>
      </w:pPr>
      <w:r>
        <w:rPr>
          <w:rFonts w:ascii="Times New Roman" w:hAnsi="Times New Roman"/>
          <w:b/>
          <w:i w:val="false"/>
          <w:color w:val="000000"/>
          <w:sz w:val="22"/>
        </w:rPr>
        <w:t>PHASE I:</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Not to exceed a duration of 12 months and a cost of $100,000.</w:t>
      </w:r>
    </w:p>
    <w:p>
      <w:pPr>
        <w:spacing w:before="0" w:after="269"/>
        <w:ind w:left="0"/>
        <w:jc w:val="left"/>
      </w:pPr>
      <w:r>
        <w:rPr>
          <w:rFonts w:ascii="Times New Roman" w:hAnsi="Times New Roman"/>
          <w:b w:val="false"/>
          <w:i w:val="false"/>
          <w:color w:val="000000"/>
          <w:sz w:val="22"/>
        </w:rPr>
        <w:t>Phase I (Feasibility and Speed Demonstration): Phase I will challenge the small business to prove its ability to respond to an urgent, simulated demand signal, mirroring a real-world work stoppage scenario. Key activities will include:</w:t>
      </w:r>
    </w:p>
    <w:p>
      <w:pPr>
        <w:numPr>
          <w:ilvl w:val="0"/>
          <w:numId w:val="1"/>
        </w:numPr>
        <w:spacing w:before="0" w:after="0"/>
        <w:jc w:val="left"/>
      </w:pPr>
      <w:r>
        <w:rPr>
          <w:rFonts w:ascii="Times New Roman" w:hAnsi="Times New Roman"/>
          <w:b w:val="false"/>
          <w:i w:val="false"/>
          <w:color w:val="000000"/>
          <w:sz w:val="22"/>
        </w:rPr>
        <w:t>Establishing a secure process for handling government-provided technical data, which may be export-controlled.</w:t>
      </w:r>
    </w:p>
    <w:p>
      <w:pPr>
        <w:numPr>
          <w:ilvl w:val="0"/>
          <w:numId w:val="1"/>
        </w:numPr>
        <w:spacing w:before="0" w:after="0"/>
        <w:jc w:val="left"/>
      </w:pPr>
      <w:r>
        <w:rPr>
          <w:rFonts w:ascii="Times New Roman" w:hAnsi="Times New Roman"/>
          <w:b w:val="false"/>
          <w:i w:val="false"/>
          <w:color w:val="000000"/>
          <w:sz w:val="22"/>
        </w:rPr>
        <w:t>Upon receipt of a representative 'problem fixture' (e.g., a broken part, a set of interface requirements), rapidly executing the reverse-engineering and design process to create a producible digital model.</w:t>
      </w:r>
    </w:p>
    <w:p>
      <w:pPr>
        <w:numPr>
          <w:ilvl w:val="0"/>
          <w:numId w:val="1"/>
        </w:numPr>
        <w:spacing w:before="0" w:after="0"/>
        <w:jc w:val="left"/>
      </w:pPr>
      <w:r>
        <w:rPr>
          <w:rFonts w:ascii="Times New Roman" w:hAnsi="Times New Roman"/>
          <w:b w:val="false"/>
          <w:i w:val="false"/>
          <w:color w:val="000000"/>
          <w:sz w:val="22"/>
        </w:rPr>
        <w:t>Manufacturing and delivering a functional prototype within an accelerated timeframe, demonstrating a significant reduction from traditional sourcing timelines.</w:t>
      </w:r>
    </w:p>
    <w:p>
      <w:pPr>
        <w:numPr>
          <w:ilvl w:val="0"/>
          <w:numId w:val="1"/>
        </w:numPr>
        <w:spacing w:before="0" w:after="0"/>
        <w:jc w:val="left"/>
      </w:pPr>
      <w:r>
        <w:rPr>
          <w:rFonts w:ascii="Times New Roman" w:hAnsi="Times New Roman"/>
          <w:b w:val="false"/>
          <w:i w:val="false"/>
          <w:color w:val="000000"/>
          <w:sz w:val="22"/>
        </w:rPr>
        <w:t>Quality control process to ensure that the fixture design is compatible with the boat's arrangement and component for the platform.</w:t>
      </w:r>
    </w:p>
    <w:p>
      <w:pPr>
        <w:numPr>
          <w:ilvl w:val="0"/>
          <w:numId w:val="1"/>
        </w:numPr>
        <w:spacing w:before="0" w:after="0"/>
        <w:jc w:val="left"/>
      </w:pPr>
      <w:r>
        <w:rPr>
          <w:rFonts w:ascii="Times New Roman" w:hAnsi="Times New Roman"/>
          <w:b w:val="false"/>
          <w:i w:val="false"/>
          <w:color w:val="000000"/>
          <w:sz w:val="22"/>
        </w:rPr>
        <w:t>Providing a final report detailing the end-to-end timeline from 'request' to 'delivery,' analyzing the process, and outlining a plan for scaling this capability in Phase II.</w:t>
      </w:r>
    </w:p>
    <w:p>
      <w:pPr>
        <w:spacing w:before="0" w:after="0"/>
        <w:ind w:left="0"/>
        <w:jc w:val="left"/>
      </w:pPr>
      <w:r>
        <w:rPr>
          <w:rFonts w:ascii="Times New Roman" w:hAnsi="Times New Roman"/>
          <w:b/>
          <w:i w:val="false"/>
          <w:color w:val="000000"/>
          <w:sz w:val="22"/>
        </w:rPr>
        <w:t>PHASE II:</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Duration and cost for Phase II are not specified in the source data.</w:t>
      </w:r>
    </w:p>
    <w:p>
      <w:pPr>
        <w:spacing w:before="0" w:after="269"/>
        <w:ind w:left="0"/>
        <w:jc w:val="left"/>
      </w:pPr>
      <w:r>
        <w:rPr>
          <w:rFonts w:ascii="Times New Roman" w:hAnsi="Times New Roman"/>
          <w:b w:val="false"/>
          <w:i w:val="false"/>
          <w:color w:val="000000"/>
          <w:sz w:val="22"/>
        </w:rPr>
        <w:t>Phase II (Capability Maturation and Operational Integration): Assuming Phase I is successful, Phase II will focus on maturing the rapid-response process into an operational capability ready for integration into the DLA/Navy supply chain. The small business will:</w:t>
      </w:r>
    </w:p>
    <w:p>
      <w:pPr>
        <w:numPr>
          <w:ilvl w:val="0"/>
          <w:numId w:val="2"/>
        </w:numPr>
        <w:spacing w:before="0" w:after="0"/>
        <w:jc w:val="left"/>
      </w:pPr>
      <w:r>
        <w:rPr>
          <w:rFonts w:ascii="Times New Roman" w:hAnsi="Times New Roman"/>
          <w:b w:val="false"/>
          <w:i w:val="false"/>
          <w:color w:val="000000"/>
          <w:sz w:val="22"/>
        </w:rPr>
        <w:t>Refine the end-to-end workflow to optimize for speed, cost, and repeatability across a diverse range of fixture types and complexities.</w:t>
      </w:r>
    </w:p>
    <w:p>
      <w:pPr>
        <w:numPr>
          <w:ilvl w:val="0"/>
          <w:numId w:val="2"/>
        </w:numPr>
        <w:spacing w:before="0" w:after="0"/>
        <w:jc w:val="left"/>
      </w:pPr>
      <w:r>
        <w:rPr>
          <w:rFonts w:ascii="Times New Roman" w:hAnsi="Times New Roman"/>
          <w:b w:val="false"/>
          <w:i w:val="false"/>
          <w:color w:val="000000"/>
          <w:sz w:val="22"/>
        </w:rPr>
        <w:t>Demonstrate this refined process by producing several different qualified fixtures in response to simulated, time-sensitive requests from a "shipyard."</w:t>
      </w:r>
    </w:p>
    <w:p>
      <w:pPr>
        <w:numPr>
          <w:ilvl w:val="0"/>
          <w:numId w:val="2"/>
        </w:numPr>
        <w:spacing w:before="0" w:after="0"/>
        <w:jc w:val="left"/>
      </w:pPr>
      <w:r>
        <w:rPr>
          <w:rFonts w:ascii="Times New Roman" w:hAnsi="Times New Roman"/>
          <w:b w:val="false"/>
          <w:i w:val="false"/>
          <w:color w:val="000000"/>
          <w:sz w:val="22"/>
        </w:rPr>
        <w:t>Conduct rigorous qualification testing (e.g., material analysis, load testing, on-site fit checks) to validate fixture performance under realistic maritime maintenance conditions.</w:t>
      </w:r>
    </w:p>
    <w:p>
      <w:pPr>
        <w:numPr>
          <w:ilvl w:val="0"/>
          <w:numId w:val="2"/>
        </w:numPr>
        <w:spacing w:before="0" w:after="0"/>
        <w:jc w:val="left"/>
      </w:pPr>
      <w:r>
        <w:rPr>
          <w:rFonts w:ascii="Times New Roman" w:hAnsi="Times New Roman"/>
          <w:b w:val="false"/>
          <w:i w:val="false"/>
          <w:color w:val="000000"/>
          <w:sz w:val="22"/>
        </w:rPr>
        <w:t>Develop and deliver a comprehensive Transition Plan that outlines the "order-to-delivery" business process, defines communication protocols, and provides a clear model for how the company will function as a responsive partner within the DLA-managed network.</w:t>
      </w:r>
    </w:p>
    <w:p>
      <w:pPr>
        <w:spacing w:before="0" w:after="0"/>
        <w:ind w:left="0"/>
        <w:jc w:val="left"/>
      </w:pPr>
      <w:r>
        <w:rPr>
          <w:rFonts w:ascii="Times New Roman" w:hAnsi="Times New Roman"/>
          <w:b/>
          <w:i w:val="false"/>
          <w:color w:val="000000"/>
          <w:sz w:val="22"/>
        </w:rPr>
        <w:t>PHASE III DUAL USE APPLICATIONS:</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 xml:space="preserve"> Phase III's can be DLA managed or Service managed. Ensuring development and production are separated. Successful history with this in the Maritime Industrial Base and PMS397L12 office.</w:t>
      </w:r>
    </w:p>
    <w:p>
      <w:pPr>
        <w:spacing w:before="0" w:after="0"/>
        <w:ind w:left="0"/>
        <w:jc w:val="left"/>
      </w:pPr>
      <w:r>
        <w:rPr>
          <w:rFonts w:ascii="Times New Roman" w:hAnsi="Times New Roman"/>
          <w:b/>
          <w:i w:val="false"/>
          <w:color w:val="000000"/>
          <w:sz w:val="22"/>
        </w:rPr>
        <w:t>REFERENCES:</w:t>
      </w:r>
      <w:r>
        <w:rPr>
          <w:rFonts w:ascii="Times New Roman" w:hAnsi="Times New Roman"/>
          <w:b w:val="false"/>
          <w:i w:val="false"/>
          <w:color w:val="000000"/>
          <w:sz w:val="22"/>
        </w:rPr>
        <w:t xml:space="preserve"> </w:t>
      </w:r>
    </w:p>
    <w:p>
      <w:pPr>
        <w:numPr>
          <w:ilvl w:val="0"/>
          <w:numId w:val="3"/>
        </w:numPr>
        <w:spacing w:before="0" w:after="0"/>
        <w:jc w:val="left"/>
      </w:pPr>
      <w:r>
        <w:rPr>
          <w:rFonts w:ascii="Times New Roman" w:hAnsi="Times New Roman"/>
          <w:b w:val="false"/>
          <w:i w:val="false"/>
          <w:color w:val="000000"/>
          <w:sz w:val="22"/>
        </w:rPr>
        <w:t>America's Maritime Action Plan: https://www.whitehouse.gov/wp-content/uploads/2026/02/Restoring-Americas-Maritime-Dominance.pdf</w:t>
      </w:r>
    </w:p>
    <w:p>
      <w:pPr>
        <w:spacing w:before="0" w:after="0"/>
        <w:ind w:left="0"/>
        <w:jc w:val="left"/>
      </w:pPr>
      <w:r>
        <w:br/>
      </w:r>
      <w:r>
        <w:rPr>
          <w:rFonts w:ascii="Times New Roman" w:hAnsi="Times New Roman"/>
          <w:b w:val="false"/>
          <w:i w:val="false"/>
          <w:color w:val="000000"/>
          <w:sz w:val="22"/>
        </w:rPr>
        <w:t xml:space="preserve"> </w:t>
      </w:r>
    </w:p>
    <w:p>
      <w:pPr>
        <w:spacing w:before="0" w:after="0"/>
        <w:ind w:left="0"/>
        <w:jc w:val="left"/>
      </w:pPr>
      <w:r>
        <w:rPr>
          <w:rFonts w:ascii="Times New Roman" w:hAnsi="Times New Roman"/>
          <w:b/>
          <w:i w:val="false"/>
          <w:color w:val="000000"/>
          <w:sz w:val="22"/>
        </w:rPr>
        <w:t>TECHNICAL POINT OF CONTACT (TPOC):</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None</w:t>
      </w:r>
    </w:p>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1">
    <w:multiLevelType w:val="multilevel"/>
    <w:lvl w:ilvl="0">
      <w:start w:val="1"/>
      <w:numFmt w:val="decimal"/>
      <w:lvlText w:val="%1."/>
      <w:lvlJc w:val="left"/>
      <w:pPr>
        <w:ind w:left="960" w:hanging="360"/>
      </w:pPr>
    </w:lvl>
  </w:abstractNum>
  <w:abstractNum w:abstractNumId="2">
    <w:multiLevelType w:val="multilevel"/>
    <w:lvl w:ilvl="0">
      <w:start w:val="1"/>
      <w:numFmt w:val="decimal"/>
      <w:lvlText w:val="%1."/>
      <w:lvlJc w:val="left"/>
      <w:pPr>
        <w:ind w:left="960" w:hanging="360"/>
      </w:pPr>
    </w:lvl>
  </w:abstractNum>
  <w:abstractNum w:abstractNumId="3">
    <w:multiLevelType w:val="multilevel"/>
    <w:lvl w:ilvl="0">
      <w:start w:val="1"/>
      <w:numFmt w:val="decimal"/>
      <w:lvlText w:val="%1."/>
      <w:lvlJc w:val="left"/>
      <w:pPr>
        <w:ind w:left="96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