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52"/>
          <w:szCs w:val="52"/>
        </w:rPr>
        <w:t xml:space="preserve">SQUID DAO</w:t>
      </w:r>
    </w:p>
    <w:p>
      <w:pPr>
        <w:spacing w:after="40"/>
        <w:jc w:val="center"/>
      </w:pPr>
      <w:r>
        <w:rPr>
          <w:rFonts w:ascii="Arial" w:cs="Arial" w:eastAsia="Arial" w:hAnsi="Arial"/>
          <w:color w:val="0F3460"/>
          <w:spacing w:val="200"/>
          <w:sz w:val="28"/>
          <w:szCs w:val="28"/>
        </w:rPr>
        <w:t xml:space="preserve">GOVERNANCE PROPOSAL</w:t>
      </w:r>
    </w:p>
    <w:p>
      <w:pPr>
        <w:pBdr>
          <w:bottom w:val="single" w:color="E0E0E0" w:sz="2" w:space="8"/>
        </w:pBdr>
        <w:spacing w:before="200" w:after="200"/>
      </w:pPr>
    </w:p>
    <w:p>
      <w:pPr>
        <w:spacing w:after="300"/>
        <w:jc w:val="center"/>
      </w:pPr>
      <w:r>
        <w:rPr>
          <w:rFonts w:ascii="Arial" w:cs="Arial" w:eastAsia="Arial" w:hAnsi="Arial"/>
          <w:b/>
          <w:bCs/>
          <w:color w:val="1A1A2E"/>
          <w:sz w:val="32"/>
          <w:szCs w:val="32"/>
        </w:rPr>
        <w:t xml:space="preserve">DAO Reconstruction &amp; Debt Recovery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tcMar>
              <w:top w:type="dxa" w:w="60"/>
              <w:left w:type="dxa" w:w="140"/>
              <w:bottom w:type="dxa" w:w="60"/>
              <w:right w:type="dxa" w:w="80"/>
            </w:tcMar>
          </w:tcPr>
          <w:p>
            <w:r>
              <w:rPr>
                <w:rFonts w:ascii="Arial" w:cs="Arial" w:eastAsia="Arial" w:hAnsi="Arial"/>
                <w:b/>
                <w:bCs/>
                <w:color w:val="555555"/>
                <w:sz w:val="20"/>
                <w:szCs w:val="20"/>
              </w:rPr>
              <w:t xml:space="preserve">Proposal ID:</w:t>
            </w:r>
          </w:p>
        </w:tc>
        <w:tc>
          <w:tcPr>
            <w:tcW w:type="dxa" w:w="6560"/>
            <w:tcBorders>
              <w:top w:val="none" w:sz="0"/>
              <w:left w:val="none" w:sz="0"/>
              <w:bottom w:val="none" w:sz="0"/>
              <w:right w:val="none" w:sz="0"/>
            </w:tcBorders>
            <w:tcMar>
              <w:top w:type="dxa" w:w="60"/>
              <w:left w:type="dxa" w:w="80"/>
              <w:bottom w:type="dxa" w:w="60"/>
              <w:right w:type="dxa" w:w="140"/>
            </w:tcMar>
          </w:tcPr>
          <w:p>
            <w:r>
              <w:rPr>
                <w:rFonts w:ascii="Arial" w:cs="Arial" w:eastAsia="Arial" w:hAnsi="Arial"/>
                <w:sz w:val="20"/>
                <w:szCs w:val="20"/>
              </w:rPr>
              <w:t xml:space="preserve">SDP-XX (to be assigned)</w:t>
            </w:r>
          </w:p>
        </w:tc>
      </w:tr>
      <w:tr>
        <w:tc>
          <w:tcPr>
            <w:tcW w:type="dxa" w:w="2800"/>
            <w:tcBorders>
              <w:top w:val="none" w:sz="0"/>
              <w:left w:val="none" w:sz="0"/>
              <w:bottom w:val="none" w:sz="0"/>
              <w:right w:val="none" w:sz="0"/>
            </w:tcBorders>
            <w:tcMar>
              <w:top w:type="dxa" w:w="60"/>
              <w:left w:type="dxa" w:w="140"/>
              <w:bottom w:type="dxa" w:w="60"/>
              <w:right w:type="dxa" w:w="80"/>
            </w:tcMar>
          </w:tcPr>
          <w:p>
            <w:r>
              <w:rPr>
                <w:rFonts w:ascii="Arial" w:cs="Arial" w:eastAsia="Arial" w:hAnsi="Arial"/>
                <w:b/>
                <w:bCs/>
                <w:color w:val="555555"/>
                <w:sz w:val="20"/>
                <w:szCs w:val="20"/>
              </w:rPr>
              <w:t xml:space="preserve">Author:</w:t>
            </w:r>
          </w:p>
        </w:tc>
        <w:tc>
          <w:tcPr>
            <w:tcW w:type="dxa" w:w="6560"/>
            <w:tcBorders>
              <w:top w:val="none" w:sz="0"/>
              <w:left w:val="none" w:sz="0"/>
              <w:bottom w:val="none" w:sz="0"/>
              <w:right w:val="none" w:sz="0"/>
            </w:tcBorders>
            <w:tcMar>
              <w:top w:type="dxa" w:w="60"/>
              <w:left w:type="dxa" w:w="80"/>
              <w:bottom w:type="dxa" w:w="60"/>
              <w:right w:type="dxa" w:w="140"/>
            </w:tcMar>
          </w:tcPr>
          <w:p>
            <w:r>
              <w:rPr>
                <w:rFonts w:ascii="Arial" w:cs="Arial" w:eastAsia="Arial" w:hAnsi="Arial"/>
                <w:sz w:val="20"/>
                <w:szCs w:val="20"/>
              </w:rPr>
              <w:t xml:space="preserve">SQUID DAO Contributors</w:t>
            </w:r>
          </w:p>
        </w:tc>
      </w:tr>
      <w:tr>
        <w:tc>
          <w:tcPr>
            <w:tcW w:type="dxa" w:w="2800"/>
            <w:tcBorders>
              <w:top w:val="none" w:sz="0"/>
              <w:left w:val="none" w:sz="0"/>
              <w:bottom w:val="none" w:sz="0"/>
              <w:right w:val="none" w:sz="0"/>
            </w:tcBorders>
            <w:tcMar>
              <w:top w:type="dxa" w:w="60"/>
              <w:left w:type="dxa" w:w="140"/>
              <w:bottom w:type="dxa" w:w="60"/>
              <w:right w:type="dxa" w:w="80"/>
            </w:tcMar>
          </w:tcPr>
          <w:p>
            <w:r>
              <w:rPr>
                <w:rFonts w:ascii="Arial" w:cs="Arial" w:eastAsia="Arial" w:hAnsi="Arial"/>
                <w:b/>
                <w:bCs/>
                <w:color w:val="555555"/>
                <w:sz w:val="20"/>
                <w:szCs w:val="20"/>
              </w:rPr>
              <w:t xml:space="preserve">Status:</w:t>
            </w:r>
          </w:p>
        </w:tc>
        <w:tc>
          <w:tcPr>
            <w:tcW w:type="dxa" w:w="6560"/>
            <w:tcBorders>
              <w:top w:val="none" w:sz="0"/>
              <w:left w:val="none" w:sz="0"/>
              <w:bottom w:val="none" w:sz="0"/>
              <w:right w:val="none" w:sz="0"/>
            </w:tcBorders>
            <w:tcMar>
              <w:top w:type="dxa" w:w="60"/>
              <w:left w:type="dxa" w:w="80"/>
              <w:bottom w:type="dxa" w:w="60"/>
              <w:right w:type="dxa" w:w="140"/>
            </w:tcMar>
          </w:tcPr>
          <w:p>
            <w:r>
              <w:rPr>
                <w:rFonts w:ascii="Arial" w:cs="Arial" w:eastAsia="Arial" w:hAnsi="Arial"/>
                <w:sz w:val="20"/>
                <w:szCs w:val="20"/>
              </w:rPr>
              <w:t xml:space="preserve">DRAFT — Open for Discussion</w:t>
            </w:r>
          </w:p>
        </w:tc>
      </w:tr>
      <w:tr>
        <w:tc>
          <w:tcPr>
            <w:tcW w:type="dxa" w:w="2800"/>
            <w:tcBorders>
              <w:top w:val="none" w:sz="0"/>
              <w:left w:val="none" w:sz="0"/>
              <w:bottom w:val="none" w:sz="0"/>
              <w:right w:val="none" w:sz="0"/>
            </w:tcBorders>
            <w:tcMar>
              <w:top w:type="dxa" w:w="60"/>
              <w:left w:type="dxa" w:w="140"/>
              <w:bottom w:type="dxa" w:w="60"/>
              <w:right w:type="dxa" w:w="80"/>
            </w:tcMar>
          </w:tcPr>
          <w:p>
            <w:r>
              <w:rPr>
                <w:rFonts w:ascii="Arial" w:cs="Arial" w:eastAsia="Arial" w:hAnsi="Arial"/>
                <w:b/>
                <w:bCs/>
                <w:color w:val="555555"/>
                <w:sz w:val="20"/>
                <w:szCs w:val="20"/>
              </w:rPr>
              <w:t xml:space="preserve">Date:</w:t>
            </w:r>
          </w:p>
        </w:tc>
        <w:tc>
          <w:tcPr>
            <w:tcW w:type="dxa" w:w="6560"/>
            <w:tcBorders>
              <w:top w:val="none" w:sz="0"/>
              <w:left w:val="none" w:sz="0"/>
              <w:bottom w:val="none" w:sz="0"/>
              <w:right w:val="none" w:sz="0"/>
            </w:tcBorders>
            <w:tcMar>
              <w:top w:type="dxa" w:w="60"/>
              <w:left w:type="dxa" w:w="80"/>
              <w:bottom w:type="dxa" w:w="60"/>
              <w:right w:type="dxa" w:w="140"/>
            </w:tcMar>
          </w:tcPr>
          <w:p>
            <w:r>
              <w:rPr>
                <w:rFonts w:ascii="Arial" w:cs="Arial" w:eastAsia="Arial" w:hAnsi="Arial"/>
                <w:sz w:val="20"/>
                <w:szCs w:val="20"/>
              </w:rPr>
              <w:t xml:space="preserve">February 25, 2026</w:t>
            </w:r>
          </w:p>
        </w:tc>
      </w:tr>
      <w:tr>
        <w:tc>
          <w:tcPr>
            <w:tcW w:type="dxa" w:w="2800"/>
            <w:tcBorders>
              <w:top w:val="none" w:sz="0"/>
              <w:left w:val="none" w:sz="0"/>
              <w:bottom w:val="none" w:sz="0"/>
              <w:right w:val="none" w:sz="0"/>
            </w:tcBorders>
            <w:tcMar>
              <w:top w:type="dxa" w:w="60"/>
              <w:left w:type="dxa" w:w="140"/>
              <w:bottom w:type="dxa" w:w="60"/>
              <w:right w:type="dxa" w:w="80"/>
            </w:tcMar>
          </w:tcPr>
          <w:p>
            <w:r>
              <w:rPr>
                <w:rFonts w:ascii="Arial" w:cs="Arial" w:eastAsia="Arial" w:hAnsi="Arial"/>
                <w:b/>
                <w:bCs/>
                <w:color w:val="555555"/>
                <w:sz w:val="20"/>
                <w:szCs w:val="20"/>
              </w:rPr>
              <w:t xml:space="preserve">On-Chain Snapshot:</w:t>
            </w:r>
          </w:p>
        </w:tc>
        <w:tc>
          <w:tcPr>
            <w:tcW w:type="dxa" w:w="6560"/>
            <w:tcBorders>
              <w:top w:val="none" w:sz="0"/>
              <w:left w:val="none" w:sz="0"/>
              <w:bottom w:val="none" w:sz="0"/>
              <w:right w:val="none" w:sz="0"/>
            </w:tcBorders>
            <w:tcMar>
              <w:top w:type="dxa" w:w="60"/>
              <w:left w:type="dxa" w:w="80"/>
              <w:bottom w:type="dxa" w:w="60"/>
              <w:right w:type="dxa" w:w="140"/>
            </w:tcMar>
          </w:tcPr>
          <w:p>
            <w:r>
              <w:rPr>
                <w:rFonts w:ascii="Arial" w:cs="Arial" w:eastAsia="Arial" w:hAnsi="Arial"/>
                <w:sz w:val="20"/>
                <w:szCs w:val="20"/>
              </w:rPr>
              <w:t xml:space="preserve">2026-02-25T10:25:19Z (verified via rpc.frax.com)</w:t>
            </w:r>
          </w:p>
        </w:tc>
      </w:tr>
      <w:tr>
        <w:tc>
          <w:tcPr>
            <w:tcW w:type="dxa" w:w="2800"/>
            <w:tcBorders>
              <w:top w:val="none" w:sz="0"/>
              <w:left w:val="none" w:sz="0"/>
              <w:bottom w:val="none" w:sz="0"/>
              <w:right w:val="none" w:sz="0"/>
            </w:tcBorders>
            <w:tcMar>
              <w:top w:type="dxa" w:w="60"/>
              <w:left w:type="dxa" w:w="140"/>
              <w:bottom w:type="dxa" w:w="60"/>
              <w:right w:type="dxa" w:w="80"/>
            </w:tcMar>
          </w:tcPr>
          <w:p>
            <w:r>
              <w:rPr>
                <w:rFonts w:ascii="Arial" w:cs="Arial" w:eastAsia="Arial" w:hAnsi="Arial"/>
                <w:b/>
                <w:bCs/>
                <w:color w:val="555555"/>
                <w:sz w:val="20"/>
                <w:szCs w:val="20"/>
              </w:rPr>
              <w:t xml:space="preserve">Vote Platform:</w:t>
            </w:r>
          </w:p>
        </w:tc>
        <w:tc>
          <w:tcPr>
            <w:tcW w:type="dxa" w:w="6560"/>
            <w:tcBorders>
              <w:top w:val="none" w:sz="0"/>
              <w:left w:val="none" w:sz="0"/>
              <w:bottom w:val="none" w:sz="0"/>
              <w:right w:val="none" w:sz="0"/>
            </w:tcBorders>
            <w:tcMar>
              <w:top w:type="dxa" w:w="60"/>
              <w:left w:type="dxa" w:w="80"/>
              <w:bottom w:type="dxa" w:w="60"/>
              <w:right w:type="dxa" w:w="140"/>
            </w:tcMar>
          </w:tcPr>
          <w:p>
            <w:r>
              <w:rPr>
                <w:rFonts w:ascii="Arial" w:cs="Arial" w:eastAsia="Arial" w:hAnsi="Arial"/>
                <w:sz w:val="20"/>
                <w:szCs w:val="20"/>
              </w:rPr>
              <w:t xml:space="preserve">Snapshot (leviathannews.eth)</w:t>
            </w:r>
          </w:p>
        </w:tc>
      </w:tr>
      <w:tr>
        <w:tc>
          <w:tcPr>
            <w:tcW w:type="dxa" w:w="2800"/>
            <w:tcBorders>
              <w:top w:val="none" w:sz="0"/>
              <w:left w:val="none" w:sz="0"/>
              <w:bottom w:val="none" w:sz="0"/>
              <w:right w:val="none" w:sz="0"/>
            </w:tcBorders>
            <w:tcMar>
              <w:top w:type="dxa" w:w="60"/>
              <w:left w:type="dxa" w:w="140"/>
              <w:bottom w:type="dxa" w:w="60"/>
              <w:right w:type="dxa" w:w="80"/>
            </w:tcMar>
          </w:tcPr>
          <w:p>
            <w:r>
              <w:rPr>
                <w:rFonts w:ascii="Arial" w:cs="Arial" w:eastAsia="Arial" w:hAnsi="Arial"/>
                <w:b/>
                <w:bCs/>
                <w:color w:val="555555"/>
                <w:sz w:val="20"/>
                <w:szCs w:val="20"/>
              </w:rPr>
              <w:t xml:space="preserve">Subject:</w:t>
            </w:r>
          </w:p>
        </w:tc>
        <w:tc>
          <w:tcPr>
            <w:tcW w:type="dxa" w:w="6560"/>
            <w:tcBorders>
              <w:top w:val="none" w:sz="0"/>
              <w:left w:val="none" w:sz="0"/>
              <w:bottom w:val="none" w:sz="0"/>
              <w:right w:val="none" w:sz="0"/>
            </w:tcBorders>
            <w:tcMar>
              <w:top w:type="dxa" w:w="60"/>
              <w:left w:type="dxa" w:w="80"/>
              <w:bottom w:type="dxa" w:w="60"/>
              <w:right w:type="dxa" w:w="140"/>
            </w:tcMar>
          </w:tcPr>
          <w:p>
            <w:r>
              <w:rPr>
                <w:rFonts w:ascii="Arial" w:cs="Arial" w:eastAsia="Arial" w:hAnsi="Arial"/>
                <w:sz w:val="20"/>
                <w:szCs w:val="20"/>
              </w:rPr>
              <w:t xml:space="preserve">DAO Reconstruction — Revenue Allocation, Lending Pool Recovery &amp; Debt Accountability</w:t>
            </w:r>
          </w:p>
        </w:tc>
      </w:tr>
    </w:tbl>
    <w:p>
      <w:pPr>
        <w:spacing w:after="300"/>
      </w:pPr>
    </w:p>
    <w:p>
      <w:pPr>
        <w:pStyle w:val="Heading1"/>
      </w:pPr>
      <w:r>
        <w:t xml:space="preserve">1. Abstract</w:t>
      </w:r>
    </w:p>
    <w:p>
      <w:pPr>
        <w:spacing w:after="200"/>
      </w:pPr>
      <w:r>
        <w:rPr>
          <w:rFonts w:ascii="Arial" w:cs="Arial" w:eastAsia="Arial" w:hAnsi="Arial"/>
          <w:sz w:val="22"/>
          <w:szCs w:val="22"/>
        </w:rPr>
        <w:t xml:space="preserve">This proposal establishes a comprehensive reconstruction framework for SQUID DAO, addressing the SQUID/crvUSD Llama Lend pool crisis on Fraxtal. The pool carries $131,060.88 in total bad debt at 100% utilization, meaning every crvUSD deposited by lenders is currently locked and inaccessible. The borrow APY has risen to 34.99%, compounding approximately $3,820 per month in additional interest.</w:t>
      </w:r>
    </w:p>
    <w:p>
      <w:pPr>
        <w:spacing w:after="200"/>
      </w:pPr>
      <w:r>
        <w:rPr>
          <w:rFonts w:ascii="Arial" w:cs="Arial" w:eastAsia="Arial" w:hAnsi="Arial"/>
          <w:sz w:val="22"/>
          <w:szCs w:val="22"/>
        </w:rPr>
        <w:t xml:space="preserve">Central to this framework is the recovery of $83,817.33 owed by Samuel McCulloch, a former front-facing contributor who departed the DAO. Samuel’s debt is distributed across two wallets and represents 64.0% of total pool obligations. Both positions are fully underwater with zero SQUID collateral remaining and deeply negative health factors.</w:t>
      </w:r>
    </w:p>
    <w:p>
      <w:pPr>
        <w:spacing w:after="200"/>
      </w:pPr>
      <w:r>
        <w:rPr>
          <w:rFonts w:ascii="Arial" w:cs="Arial" w:eastAsia="Arial" w:hAnsi="Arial"/>
          <w:sz w:val="22"/>
          <w:szCs w:val="22"/>
        </w:rPr>
        <w:t xml:space="preserve">This proposal defines a structured process for debtor engagement, revenue allocation toward lender recovery, and ongoing transparency measures — establishing the governance infrastructure the DAO needs to move forward.</w:t>
      </w:r>
    </w:p>
    <w:p>
      <w:pPr>
        <w:pStyle w:val="Heading1"/>
      </w:pPr>
      <w:r>
        <w:t xml:space="preserve">2. On-Chain Verified Data</w:t>
      </w:r>
    </w:p>
    <w:p>
      <w:pPr>
        <w:spacing w:after="200"/>
      </w:pPr>
      <w:r>
        <w:rPr>
          <w:rFonts w:ascii="Arial" w:cs="Arial" w:eastAsia="Arial" w:hAnsi="Arial"/>
          <w:i/>
          <w:iCs/>
          <w:sz w:val="22"/>
          <w:szCs w:val="22"/>
        </w:rPr>
        <w:t xml:space="preserve">All data below was extracted directly from the Fraxtal blockchain on February 25, 2026 at 10:25:19 UTC via the public RPC endpoint (rpc.frax.com). The extraction script and raw JSON output are attached as appendices for independent verification.</w:t>
      </w:r>
    </w:p>
    <w:p>
      <w:pPr>
        <w:pStyle w:val="Heading2"/>
      </w:pPr>
      <w:r>
        <w:t xml:space="preserve">2.1 Pool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Metric</w:t>
            </w:r>
          </w:p>
        </w:tc>
        <w:tc>
          <w:tcPr>
            <w:tcW w:type="dxa" w:w="516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Value</w:t>
            </w:r>
          </w:p>
        </w:tc>
      </w:tr>
      <w:tr>
        <w:tc>
          <w:tcPr>
            <w:tcW w:type="dxa" w:w="4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sz w:val="20"/>
                <w:szCs w:val="20"/>
              </w:rPr>
              <w:t xml:space="preserve">Total Pool Debt</w:t>
            </w:r>
          </w:p>
        </w:tc>
        <w:tc>
          <w:tcPr>
            <w:tcW w:type="dxa" w:w="51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991B1B"/>
                <w:sz w:val="20"/>
                <w:szCs w:val="20"/>
              </w:rPr>
              <w:t xml:space="preserve">131,060.88 crvUSD</w:t>
            </w:r>
          </w:p>
        </w:tc>
      </w:tr>
      <w:tr>
        <w:tc>
          <w:tcPr>
            <w:tcW w:type="dxa" w:w="4200"/>
            <w:tcBorders>
              <w:top w:val="single" w:color="E0E0E0" w:sz="1"/>
              <w:left w:val="single" w:color="E0E0E0" w:sz="1"/>
              <w:bottom w:val="single" w:color="E0E0E0" w:sz="1"/>
              <w:right w:val="single" w:color="E0E0E0" w:sz="1"/>
            </w:tcBorders>
            <w:shd w:fill="FDE8E8" w:val="clear"/>
            <w:tcMar>
              <w:top w:type="dxa" w:w="100"/>
              <w:left w:type="dxa" w:w="140"/>
              <w:bottom w:type="dxa" w:w="100"/>
              <w:right w:type="dxa" w:w="140"/>
            </w:tcMar>
          </w:tcPr>
          <w:p>
            <w:pPr>
              <w:jc w:val="left"/>
            </w:pPr>
            <w:r>
              <w:rPr>
                <w:rFonts w:ascii="Arial" w:cs="Arial" w:eastAsia="Arial" w:hAnsi="Arial"/>
                <w:b/>
                <w:bCs/>
                <w:sz w:val="20"/>
                <w:szCs w:val="20"/>
              </w:rPr>
              <w:t xml:space="preserve">Samuel McCulloch’s Combined Debt</w:t>
            </w:r>
          </w:p>
        </w:tc>
        <w:tc>
          <w:tcPr>
            <w:tcW w:type="dxa" w:w="5160"/>
            <w:tcBorders>
              <w:top w:val="single" w:color="E0E0E0" w:sz="1"/>
              <w:left w:val="single" w:color="E0E0E0" w:sz="1"/>
              <w:bottom w:val="single" w:color="E0E0E0" w:sz="1"/>
              <w:right w:val="single" w:color="E0E0E0" w:sz="1"/>
            </w:tcBorders>
            <w:shd w:fill="FDE8E8" w:val="clear"/>
            <w:tcMar>
              <w:top w:type="dxa" w:w="100"/>
              <w:left w:type="dxa" w:w="140"/>
              <w:bottom w:type="dxa" w:w="100"/>
              <w:right w:type="dxa" w:w="140"/>
            </w:tcMar>
          </w:tcPr>
          <w:p>
            <w:pPr>
              <w:jc w:val="left"/>
            </w:pPr>
            <w:r>
              <w:rPr>
                <w:rFonts w:ascii="Arial" w:cs="Arial" w:eastAsia="Arial" w:hAnsi="Arial"/>
                <w:b/>
                <w:bCs/>
                <w:color w:val="991B1B"/>
                <w:sz w:val="20"/>
                <w:szCs w:val="20"/>
              </w:rPr>
              <w:t xml:space="preserve">83,817.33 crvUSD (64.0% of total)</w:t>
            </w:r>
          </w:p>
        </w:tc>
      </w:tr>
      <w:tr>
        <w:tc>
          <w:tcPr>
            <w:tcW w:type="dxa" w:w="4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sz w:val="20"/>
                <w:szCs w:val="20"/>
              </w:rPr>
              <w:t xml:space="preserve">Total Supplied by Lenders</w:t>
            </w:r>
          </w:p>
        </w:tc>
        <w:tc>
          <w:tcPr>
            <w:tcW w:type="dxa" w:w="51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sz w:val="20"/>
                <w:szCs w:val="20"/>
              </w:rPr>
              <w:t xml:space="preserve">131,060.88 crvUSD</w:t>
            </w:r>
          </w:p>
        </w:tc>
      </w:tr>
      <w:tr>
        <w:tc>
          <w:tcPr>
            <w:tcW w:type="dxa" w:w="4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sz w:val="20"/>
                <w:szCs w:val="20"/>
              </w:rPr>
              <w:t xml:space="preserve">Utilization Rate</w:t>
            </w:r>
          </w:p>
        </w:tc>
        <w:tc>
          <w:tcPr>
            <w:tcW w:type="dxa" w:w="51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sz w:val="20"/>
                <w:szCs w:val="20"/>
              </w:rPr>
              <w:t xml:space="preserve">100.00% (all lender funds locked)</w:t>
            </w:r>
          </w:p>
        </w:tc>
      </w:tr>
      <w:tr>
        <w:tc>
          <w:tcPr>
            <w:tcW w:type="dxa" w:w="4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sz w:val="20"/>
                <w:szCs w:val="20"/>
              </w:rPr>
              <w:t xml:space="preserve">Current Borrow APY</w:t>
            </w:r>
          </w:p>
        </w:tc>
        <w:tc>
          <w:tcPr>
            <w:tcW w:type="dxa" w:w="51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sz w:val="20"/>
                <w:szCs w:val="20"/>
              </w:rPr>
              <w:t xml:space="preserve">34.99% (compounding — adds ~$3,820/month to total pool debt)</w:t>
            </w:r>
          </w:p>
        </w:tc>
      </w:tr>
      <w:tr>
        <w:tc>
          <w:tcPr>
            <w:tcW w:type="dxa" w:w="4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sz w:val="20"/>
                <w:szCs w:val="20"/>
              </w:rPr>
              <w:t xml:space="preserve">Vault Price Per Share</w:t>
            </w:r>
          </w:p>
        </w:tc>
        <w:tc>
          <w:tcPr>
            <w:tcW w:type="dxa" w:w="51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sz w:val="20"/>
                <w:szCs w:val="20"/>
              </w:rPr>
              <w:t xml:space="preserve">0.001234 (lender shares worth ~0.12% of face value)</w:t>
            </w:r>
          </w:p>
        </w:tc>
      </w:tr>
      <w:tr>
        <w:tc>
          <w:tcPr>
            <w:tcW w:type="dxa" w:w="4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sz w:val="20"/>
                <w:szCs w:val="20"/>
              </w:rPr>
              <w:t xml:space="preserve">Accumulated Admin Fees</w:t>
            </w:r>
          </w:p>
        </w:tc>
        <w:tc>
          <w:tcPr>
            <w:tcW w:type="dxa" w:w="51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sz w:val="20"/>
                <w:szCs w:val="20"/>
              </w:rPr>
              <w:t xml:space="preserve">20,686.05 crvUSD</w:t>
            </w:r>
          </w:p>
        </w:tc>
      </w:tr>
      <w:tr>
        <w:tc>
          <w:tcPr>
            <w:tcW w:type="dxa" w:w="4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sz w:val="20"/>
                <w:szCs w:val="20"/>
              </w:rPr>
              <w:t xml:space="preserve">Active Loans in Pool</w:t>
            </w:r>
          </w:p>
        </w:tc>
        <w:tc>
          <w:tcPr>
            <w:tcW w:type="dxa" w:w="51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sz w:val="20"/>
                <w:szCs w:val="20"/>
              </w:rPr>
              <w:t xml:space="preserve">5 (all with negative health — 100% bad debt)</w:t>
            </w:r>
          </w:p>
        </w:tc>
      </w:tr>
      <w:tr>
        <w:tc>
          <w:tcPr>
            <w:tcW w:type="dxa" w:w="4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sz w:val="20"/>
                <w:szCs w:val="20"/>
              </w:rPr>
              <w:t xml:space="preserve">SQUID Oracle Price</w:t>
            </w:r>
          </w:p>
        </w:tc>
        <w:tc>
          <w:tcPr>
            <w:tcW w:type="dxa" w:w="51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sz w:val="20"/>
                <w:szCs w:val="20"/>
              </w:rPr>
              <w:t xml:space="preserve">$0.001942 per SQUID</w:t>
            </w:r>
          </w:p>
        </w:tc>
      </w:tr>
    </w:tbl>
    <w:p>
      <w:pPr>
        <w:spacing w:after="120"/>
      </w:pPr>
    </w:p>
    <w:p>
      <w:pPr>
        <w:pStyle w:val="Heading1"/>
      </w:pPr>
      <w:r>
        <w:t xml:space="preserve">3. Samuel McCulloch’s Positions</w:t>
      </w:r>
    </w:p>
    <w:p>
      <w:pPr>
        <w:spacing w:after="200"/>
      </w:pPr>
      <w:r>
        <w:rPr>
          <w:rFonts w:ascii="Arial" w:cs="Arial" w:eastAsia="Arial" w:hAnsi="Arial"/>
          <w:sz w:val="22"/>
          <w:szCs w:val="22"/>
        </w:rPr>
        <w:t xml:space="preserve">Samuel holds two wallets with active loan positions in the SQUID/crvUSD lending pool. Both wallets have zero SQUID collateral remaining — the LLAMMA soft-liquidation mechanism converted all collateral to crvUSD as SQUID’s price declined, but the recovered amounts cover only a fraction of the outstanding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60"/>
        <w:gridCol w:w="1800"/>
        <w:gridCol w:w="1500"/>
        <w:gridCol w:w="1500"/>
      </w:tblGrid>
      <w:tr>
        <w:tc>
          <w:tcPr>
            <w:tcW w:type="dxa" w:w="15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
            </w:r>
          </w:p>
        </w:tc>
        <w:tc>
          <w:tcPr>
            <w:tcW w:type="dxa" w:w="306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Wallet Address</w:t>
            </w:r>
          </w:p>
        </w:tc>
        <w:tc>
          <w:tcPr>
            <w:tcW w:type="dxa" w:w="18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Debt (crvUSD)</w:t>
            </w:r>
          </w:p>
        </w:tc>
        <w:tc>
          <w:tcPr>
            <w:tcW w:type="dxa" w:w="15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Health</w:t>
            </w:r>
          </w:p>
        </w:tc>
        <w:tc>
          <w:tcPr>
            <w:tcW w:type="dxa" w:w="15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crvUSD in Bands</w:t>
            </w:r>
          </w:p>
        </w:tc>
      </w:tr>
      <w:tr>
        <w:tc>
          <w:tcPr>
            <w:tcW w:type="dxa" w:w="1500"/>
            <w:tcBorders>
              <w:top w:val="single" w:color="E0E0E0" w:sz="1"/>
              <w:left w:val="single" w:color="E0E0E0" w:sz="1"/>
              <w:bottom w:val="single" w:color="E0E0E0" w:sz="1"/>
              <w:right w:val="single" w:color="E0E0E0" w:sz="1"/>
            </w:tcBorders>
            <w:shd w:fill="FDE8E8" w:val="clear"/>
            <w:tcMar>
              <w:top w:type="dxa" w:w="100"/>
              <w:left w:type="dxa" w:w="140"/>
              <w:bottom w:type="dxa" w:w="100"/>
              <w:right w:type="dxa" w:w="140"/>
            </w:tcMar>
          </w:tcPr>
          <w:p>
            <w:pPr>
              <w:jc w:val="left"/>
            </w:pPr>
            <w:r>
              <w:rPr>
                <w:rFonts w:ascii="Arial" w:cs="Arial" w:eastAsia="Arial" w:hAnsi="Arial"/>
                <w:b/>
                <w:bCs/>
                <w:sz w:val="20"/>
                <w:szCs w:val="20"/>
              </w:rPr>
              <w:t xml:space="preserve">Wallet 1</w:t>
            </w:r>
          </w:p>
        </w:tc>
        <w:tc>
          <w:tcPr>
            <w:tcW w:type="dxa" w:w="3060"/>
            <w:tcBorders>
              <w:top w:val="single" w:color="E0E0E0" w:sz="1"/>
              <w:left w:val="single" w:color="E0E0E0" w:sz="1"/>
              <w:bottom w:val="single" w:color="E0E0E0" w:sz="1"/>
              <w:right w:val="single" w:color="E0E0E0" w:sz="1"/>
            </w:tcBorders>
            <w:shd w:fill="FDE8E8" w:val="clear"/>
            <w:tcMar>
              <w:top w:type="dxa" w:w="100"/>
              <w:left w:type="dxa" w:w="140"/>
              <w:bottom w:type="dxa" w:w="100"/>
              <w:right w:type="dxa" w:w="140"/>
            </w:tcMar>
          </w:tcPr>
          <w:p>
            <w:pPr>
              <w:jc w:val="left"/>
            </w:pPr>
            <w:r>
              <w:rPr>
                <w:rFonts w:ascii="Arial" w:cs="Arial" w:eastAsia="Arial" w:hAnsi="Arial"/>
                <w:sz w:val="20"/>
                <w:szCs w:val="20"/>
              </w:rPr>
              <w:t xml:space="preserve">0x81f9B40Dee106a4C5822aED7641D5C1e2B40F922</w:t>
            </w:r>
          </w:p>
        </w:tc>
        <w:tc>
          <w:tcPr>
            <w:tcW w:type="dxa" w:w="1800"/>
            <w:tcBorders>
              <w:top w:val="single" w:color="E0E0E0" w:sz="1"/>
              <w:left w:val="single" w:color="E0E0E0" w:sz="1"/>
              <w:bottom w:val="single" w:color="E0E0E0" w:sz="1"/>
              <w:right w:val="single" w:color="E0E0E0" w:sz="1"/>
            </w:tcBorders>
            <w:shd w:fill="FDE8E8" w:val="clear"/>
            <w:tcMar>
              <w:top w:type="dxa" w:w="100"/>
              <w:left w:type="dxa" w:w="140"/>
              <w:bottom w:type="dxa" w:w="100"/>
              <w:right w:type="dxa" w:w="140"/>
            </w:tcMar>
          </w:tcPr>
          <w:p>
            <w:pPr>
              <w:jc w:val="right"/>
            </w:pPr>
            <w:r>
              <w:rPr>
                <w:rFonts w:ascii="Arial" w:cs="Arial" w:eastAsia="Arial" w:hAnsi="Arial"/>
                <w:b/>
                <w:bCs/>
                <w:sz w:val="20"/>
                <w:szCs w:val="20"/>
              </w:rPr>
              <w:t xml:space="preserve">81,536.78</w:t>
            </w:r>
          </w:p>
        </w:tc>
        <w:tc>
          <w:tcPr>
            <w:tcW w:type="dxa" w:w="1500"/>
            <w:tcBorders>
              <w:top w:val="single" w:color="E0E0E0" w:sz="1"/>
              <w:left w:val="single" w:color="E0E0E0" w:sz="1"/>
              <w:bottom w:val="single" w:color="E0E0E0" w:sz="1"/>
              <w:right w:val="single" w:color="E0E0E0" w:sz="1"/>
            </w:tcBorders>
            <w:shd w:fill="FDE8E8" w:val="clear"/>
            <w:tcMar>
              <w:top w:type="dxa" w:w="100"/>
              <w:left w:type="dxa" w:w="140"/>
              <w:bottom w:type="dxa" w:w="100"/>
              <w:right w:type="dxa" w:w="140"/>
            </w:tcMar>
          </w:tcPr>
          <w:p>
            <w:pPr>
              <w:jc w:val="left"/>
            </w:pPr>
            <w:r>
              <w:rPr>
                <w:rFonts w:ascii="Arial" w:cs="Arial" w:eastAsia="Arial" w:hAnsi="Arial"/>
                <w:color w:val="991B1B"/>
                <w:sz w:val="20"/>
                <w:szCs w:val="20"/>
              </w:rPr>
              <w:t xml:space="preserve">-96.00%</w:t>
            </w:r>
          </w:p>
        </w:tc>
        <w:tc>
          <w:tcPr>
            <w:tcW w:type="dxa" w:w="1500"/>
            <w:tcBorders>
              <w:top w:val="single" w:color="E0E0E0" w:sz="1"/>
              <w:left w:val="single" w:color="E0E0E0" w:sz="1"/>
              <w:bottom w:val="single" w:color="E0E0E0" w:sz="1"/>
              <w:right w:val="single" w:color="E0E0E0" w:sz="1"/>
            </w:tcBorders>
            <w:shd w:fill="FDE8E8" w:val="clear"/>
            <w:tcMar>
              <w:top w:type="dxa" w:w="100"/>
              <w:left w:type="dxa" w:w="140"/>
              <w:bottom w:type="dxa" w:w="100"/>
              <w:right w:type="dxa" w:w="140"/>
            </w:tcMar>
          </w:tcPr>
          <w:p>
            <w:pPr>
              <w:jc w:val="right"/>
            </w:pPr>
            <w:r>
              <w:rPr>
                <w:rFonts w:ascii="Arial" w:cs="Arial" w:eastAsia="Arial" w:hAnsi="Arial"/>
                <w:sz w:val="20"/>
                <w:szCs w:val="20"/>
              </w:rPr>
              <w:t xml:space="preserve">3,728.82</w:t>
            </w:r>
          </w:p>
        </w:tc>
      </w:tr>
      <w:tr>
        <w:tc>
          <w:tcPr>
            <w:tcW w:type="dxa" w:w="1500"/>
            <w:tcBorders>
              <w:top w:val="single" w:color="E0E0E0" w:sz="1"/>
              <w:left w:val="single" w:color="E0E0E0" w:sz="1"/>
              <w:bottom w:val="single" w:color="E0E0E0" w:sz="1"/>
              <w:right w:val="single" w:color="E0E0E0" w:sz="1"/>
            </w:tcBorders>
            <w:shd w:fill="FDE8E8" w:val="clear"/>
            <w:tcMar>
              <w:top w:type="dxa" w:w="100"/>
              <w:left w:type="dxa" w:w="140"/>
              <w:bottom w:type="dxa" w:w="100"/>
              <w:right w:type="dxa" w:w="140"/>
            </w:tcMar>
          </w:tcPr>
          <w:p>
            <w:pPr>
              <w:jc w:val="left"/>
            </w:pPr>
            <w:r>
              <w:rPr>
                <w:rFonts w:ascii="Arial" w:cs="Arial" w:eastAsia="Arial" w:hAnsi="Arial"/>
                <w:b/>
                <w:bCs/>
                <w:sz w:val="20"/>
                <w:szCs w:val="20"/>
              </w:rPr>
              <w:t xml:space="preserve">Wallet 2</w:t>
            </w:r>
          </w:p>
        </w:tc>
        <w:tc>
          <w:tcPr>
            <w:tcW w:type="dxa" w:w="3060"/>
            <w:tcBorders>
              <w:top w:val="single" w:color="E0E0E0" w:sz="1"/>
              <w:left w:val="single" w:color="E0E0E0" w:sz="1"/>
              <w:bottom w:val="single" w:color="E0E0E0" w:sz="1"/>
              <w:right w:val="single" w:color="E0E0E0" w:sz="1"/>
            </w:tcBorders>
            <w:shd w:fill="FDE8E8" w:val="clear"/>
            <w:tcMar>
              <w:top w:type="dxa" w:w="100"/>
              <w:left w:type="dxa" w:w="140"/>
              <w:bottom w:type="dxa" w:w="100"/>
              <w:right w:type="dxa" w:w="140"/>
            </w:tcMar>
          </w:tcPr>
          <w:p>
            <w:pPr>
              <w:jc w:val="left"/>
            </w:pPr>
            <w:r>
              <w:rPr>
                <w:rFonts w:ascii="Arial" w:cs="Arial" w:eastAsia="Arial" w:hAnsi="Arial"/>
                <w:sz w:val="20"/>
                <w:szCs w:val="20"/>
              </w:rPr>
              <w:t xml:space="preserve">0xb53009E4dC25a494F3Bee03Ab121517e74b59F75</w:t>
            </w:r>
          </w:p>
        </w:tc>
        <w:tc>
          <w:tcPr>
            <w:tcW w:type="dxa" w:w="1800"/>
            <w:tcBorders>
              <w:top w:val="single" w:color="E0E0E0" w:sz="1"/>
              <w:left w:val="single" w:color="E0E0E0" w:sz="1"/>
              <w:bottom w:val="single" w:color="E0E0E0" w:sz="1"/>
              <w:right w:val="single" w:color="E0E0E0" w:sz="1"/>
            </w:tcBorders>
            <w:shd w:fill="FDE8E8" w:val="clear"/>
            <w:tcMar>
              <w:top w:type="dxa" w:w="100"/>
              <w:left w:type="dxa" w:w="140"/>
              <w:bottom w:type="dxa" w:w="100"/>
              <w:right w:type="dxa" w:w="140"/>
            </w:tcMar>
          </w:tcPr>
          <w:p>
            <w:pPr>
              <w:jc w:val="right"/>
            </w:pPr>
            <w:r>
              <w:rPr>
                <w:rFonts w:ascii="Arial" w:cs="Arial" w:eastAsia="Arial" w:hAnsi="Arial"/>
                <w:b/>
                <w:bCs/>
                <w:sz w:val="20"/>
                <w:szCs w:val="20"/>
              </w:rPr>
              <w:t xml:space="preserve">2,280.55</w:t>
            </w:r>
          </w:p>
        </w:tc>
        <w:tc>
          <w:tcPr>
            <w:tcW w:type="dxa" w:w="1500"/>
            <w:tcBorders>
              <w:top w:val="single" w:color="E0E0E0" w:sz="1"/>
              <w:left w:val="single" w:color="E0E0E0" w:sz="1"/>
              <w:bottom w:val="single" w:color="E0E0E0" w:sz="1"/>
              <w:right w:val="single" w:color="E0E0E0" w:sz="1"/>
            </w:tcBorders>
            <w:shd w:fill="FDE8E8" w:val="clear"/>
            <w:tcMar>
              <w:top w:type="dxa" w:w="100"/>
              <w:left w:type="dxa" w:w="140"/>
              <w:bottom w:type="dxa" w:w="100"/>
              <w:right w:type="dxa" w:w="140"/>
            </w:tcMar>
          </w:tcPr>
          <w:p>
            <w:pPr>
              <w:jc w:val="left"/>
            </w:pPr>
            <w:r>
              <w:rPr>
                <w:rFonts w:ascii="Arial" w:cs="Arial" w:eastAsia="Arial" w:hAnsi="Arial"/>
                <w:color w:val="991B1B"/>
                <w:sz w:val="20"/>
                <w:szCs w:val="20"/>
              </w:rPr>
              <w:t xml:space="preserve">-81.71%</w:t>
            </w:r>
          </w:p>
        </w:tc>
        <w:tc>
          <w:tcPr>
            <w:tcW w:type="dxa" w:w="1500"/>
            <w:tcBorders>
              <w:top w:val="single" w:color="E0E0E0" w:sz="1"/>
              <w:left w:val="single" w:color="E0E0E0" w:sz="1"/>
              <w:bottom w:val="single" w:color="E0E0E0" w:sz="1"/>
              <w:right w:val="single" w:color="E0E0E0" w:sz="1"/>
            </w:tcBorders>
            <w:shd w:fill="FDE8E8" w:val="clear"/>
            <w:tcMar>
              <w:top w:type="dxa" w:w="100"/>
              <w:left w:type="dxa" w:w="140"/>
              <w:bottom w:type="dxa" w:w="100"/>
              <w:right w:type="dxa" w:w="140"/>
            </w:tcMar>
          </w:tcPr>
          <w:p>
            <w:pPr>
              <w:jc w:val="right"/>
            </w:pPr>
            <w:r>
              <w:rPr>
                <w:rFonts w:ascii="Arial" w:cs="Arial" w:eastAsia="Arial" w:hAnsi="Arial"/>
                <w:sz w:val="20"/>
                <w:szCs w:val="20"/>
              </w:rPr>
              <w:t xml:space="preserve">476.60</w:t>
            </w:r>
          </w:p>
        </w:tc>
      </w:tr>
      <w:tr>
        <w:tc>
          <w:tcPr>
            <w:tcW w:type="dxa" w:w="15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TOTAL</w:t>
            </w:r>
          </w:p>
        </w:tc>
        <w:tc>
          <w:tcPr>
            <w:tcW w:type="dxa" w:w="306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left"/>
            </w:pPr>
            <w:r>
              <w:rPr>
                <w:rFonts w:ascii="Arial" w:cs="Arial" w:eastAsia="Arial" w:hAnsi="Arial"/>
                <w:color w:val="FFFFFF"/>
                <w:sz w:val="20"/>
                <w:szCs w:val="20"/>
              </w:rPr>
              <w:t xml:space="preserve">2 wallets</w:t>
            </w:r>
          </w:p>
        </w:tc>
        <w:tc>
          <w:tcPr>
            <w:tcW w:type="dxa" w:w="18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83,817.33</w:t>
            </w:r>
          </w:p>
        </w:tc>
        <w:tc>
          <w:tcPr>
            <w:tcW w:type="dxa" w:w="15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left"/>
            </w:pPr>
            <w:r>
              <w:rPr>
                <w:rFonts w:ascii="Arial" w:cs="Arial" w:eastAsia="Arial" w:hAnsi="Arial"/>
                <w:color w:val="FFFFFF"/>
                <w:sz w:val="20"/>
                <w:szCs w:val="20"/>
              </w:rPr>
              <w:t xml:space="preserve">Both negative</w:t>
            </w:r>
          </w:p>
        </w:tc>
        <w:tc>
          <w:tcPr>
            <w:tcW w:type="dxa" w:w="15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4,205.42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Fact</w:t>
            </w:r>
          </w:p>
        </w:tc>
        <w:tc>
          <w:tcPr>
            <w:tcW w:type="dxa" w:w="516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4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sz w:val="20"/>
                <w:szCs w:val="20"/>
              </w:rPr>
              <w:t xml:space="preserve">SQUID Collateral Remaining</w:t>
            </w:r>
          </w:p>
        </w:tc>
        <w:tc>
          <w:tcPr>
            <w:tcW w:type="dxa" w:w="51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color w:val="991B1B"/>
                <w:sz w:val="20"/>
                <w:szCs w:val="20"/>
              </w:rPr>
              <w:t xml:space="preserve">0.00 SQUID (both wallets fully liquidated)</w:t>
            </w:r>
          </w:p>
        </w:tc>
      </w:tr>
      <w:tr>
        <w:tc>
          <w:tcPr>
            <w:tcW w:type="dxa" w:w="4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sz w:val="20"/>
                <w:szCs w:val="20"/>
              </w:rPr>
              <w:t xml:space="preserve">Residual crvUSD in LLAMMA Bands</w:t>
            </w:r>
          </w:p>
        </w:tc>
        <w:tc>
          <w:tcPr>
            <w:tcW w:type="dxa" w:w="51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sz w:val="20"/>
                <w:szCs w:val="20"/>
              </w:rPr>
              <w:t xml:space="preserve">4,205.42 crvUSD (5.0% of debt — partially recoverable)</w:t>
            </w:r>
          </w:p>
        </w:tc>
      </w:tr>
      <w:tr>
        <w:tc>
          <w:tcPr>
            <w:tcW w:type="dxa" w:w="4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sz w:val="20"/>
                <w:szCs w:val="20"/>
              </w:rPr>
              <w:t xml:space="preserve">Net Irrecoverable Debt</w:t>
            </w:r>
          </w:p>
        </w:tc>
        <w:tc>
          <w:tcPr>
            <w:tcW w:type="dxa" w:w="51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991B1B"/>
                <w:sz w:val="20"/>
                <w:szCs w:val="20"/>
              </w:rPr>
              <w:t xml:space="preserve">~79,611.91 crvUSD (debt minus residual)</w:t>
            </w:r>
          </w:p>
        </w:tc>
      </w:tr>
      <w:tr>
        <w:tc>
          <w:tcPr>
            <w:tcW w:type="dxa" w:w="4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sz w:val="20"/>
                <w:szCs w:val="20"/>
              </w:rPr>
              <w:t xml:space="preserve">SQUID Collateral Bands Used</w:t>
            </w:r>
          </w:p>
        </w:tc>
        <w:tc>
          <w:tcPr>
            <w:tcW w:type="dxa" w:w="51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sz w:val="20"/>
                <w:szCs w:val="20"/>
              </w:rPr>
              <w:t xml:space="preserve">10 bands (Wallet 1) + 10 bands (Wallet 2)</w:t>
            </w:r>
          </w:p>
        </w:tc>
      </w:tr>
      <w:tr>
        <w:tc>
          <w:tcPr>
            <w:tcW w:type="dxa" w:w="4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sz w:val="20"/>
                <w:szCs w:val="20"/>
              </w:rPr>
              <w:t xml:space="preserve">Samuel’s Share of Total Pool Debt</w:t>
            </w:r>
          </w:p>
        </w:tc>
        <w:tc>
          <w:tcPr>
            <w:tcW w:type="dxa" w:w="51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sz w:val="20"/>
                <w:szCs w:val="20"/>
              </w:rPr>
              <w:t xml:space="preserve">64.0%</w:t>
            </w:r>
          </w:p>
        </w:tc>
      </w:tr>
      <w:tr>
        <w:tc>
          <w:tcPr>
            <w:tcW w:type="dxa" w:w="4200"/>
            <w:tcBorders>
              <w:top w:val="single" w:color="E0E0E0" w:sz="1"/>
              <w:left w:val="single" w:color="E0E0E0" w:sz="1"/>
              <w:bottom w:val="single" w:color="E0E0E0" w:sz="1"/>
              <w:right w:val="single" w:color="E0E0E0" w:sz="1"/>
            </w:tcBorders>
            <w:shd w:fill="FDE8E8" w:val="clear"/>
            <w:tcMar>
              <w:top w:type="dxa" w:w="100"/>
              <w:left w:type="dxa" w:w="140"/>
              <w:bottom w:type="dxa" w:w="100"/>
              <w:right w:type="dxa" w:w="140"/>
            </w:tcMar>
          </w:tcPr>
          <w:p>
            <w:pPr>
              <w:jc w:val="left"/>
            </w:pPr>
            <w:r>
              <w:rPr>
                <w:rFonts w:ascii="Arial" w:cs="Arial" w:eastAsia="Arial" w:hAnsi="Arial"/>
                <w:b/>
                <w:bCs/>
                <w:sz w:val="20"/>
                <w:szCs w:val="20"/>
              </w:rPr>
              <w:t xml:space="preserve">Current Status</w:t>
            </w:r>
          </w:p>
        </w:tc>
        <w:tc>
          <w:tcPr>
            <w:tcW w:type="dxa" w:w="5160"/>
            <w:tcBorders>
              <w:top w:val="single" w:color="E0E0E0" w:sz="1"/>
              <w:left w:val="single" w:color="E0E0E0" w:sz="1"/>
              <w:bottom w:val="single" w:color="E0E0E0" w:sz="1"/>
              <w:right w:val="single" w:color="E0E0E0" w:sz="1"/>
            </w:tcBorders>
            <w:shd w:fill="FDE8E8" w:val="clear"/>
            <w:tcMar>
              <w:top w:type="dxa" w:w="100"/>
              <w:left w:type="dxa" w:w="140"/>
              <w:bottom w:type="dxa" w:w="100"/>
              <w:right w:type="dxa" w:w="140"/>
            </w:tcMar>
          </w:tcPr>
          <w:p>
            <w:pPr>
              <w:jc w:val="left"/>
            </w:pPr>
            <w:r>
              <w:rPr>
                <w:rFonts w:ascii="Arial" w:cs="Arial" w:eastAsia="Arial" w:hAnsi="Arial"/>
                <w:b/>
                <w:bCs/>
                <w:color w:val="991B1B"/>
                <w:sz w:val="20"/>
                <w:szCs w:val="20"/>
              </w:rPr>
              <w:t xml:space="preserve">Departed DAO — no communication regarding repayment</w:t>
            </w:r>
          </w:p>
        </w:tc>
      </w:tr>
    </w:tbl>
    <w:p>
      <w:pPr>
        <w:spacing w:after="120"/>
      </w:pPr>
    </w:p>
    <w:p>
      <w:pPr>
        <w:pStyle w:val="Heading2"/>
      </w:pPr>
      <w:r>
        <w:t xml:space="preserve">3.1 How This Debt Was Created</w:t>
      </w:r>
    </w:p>
    <w:p>
      <w:pPr>
        <w:spacing w:after="200"/>
      </w:pPr>
      <w:r>
        <w:rPr>
          <w:rFonts w:ascii="Arial" w:cs="Arial" w:eastAsia="Arial" w:hAnsi="Arial"/>
          <w:sz w:val="22"/>
          <w:szCs w:val="22"/>
        </w:rPr>
        <w:t xml:space="preserve">Under Curve Lending’s smart contract mechanics, Samuel deposited SQUID tokens as collateral and borrowed crvUSD against them. He received and retained the borrowed crvUSD. As SQUID’s price declined from approximately $0.02 to under $0.002 (a 90%+ drop), the LLAMMA soft-liquidation mechanism progressively converted his SQUID collateral into crvUSD. However, due to SQUID’s thin liquidity, the conversion recovered only a small fraction of the outstanding debt.</w:t>
      </w:r>
    </w:p>
    <w:p>
      <w:pPr>
        <w:spacing w:after="200"/>
      </w:pPr>
      <w:r>
        <w:rPr>
          <w:rFonts w:ascii="Arial" w:cs="Arial" w:eastAsia="Arial" w:hAnsi="Arial"/>
          <w:sz w:val="22"/>
          <w:szCs w:val="22"/>
        </w:rPr>
        <w:t xml:space="preserve">The result: Samuel kept the ~$83,817 in borrowed crvUSD, his collateral was consumed by soft-liquidation, and vault lenders are left holding the loss. He has since departed the DAO with no public statement regarding repayment.</w:t>
      </w:r>
    </w:p>
    <w:p>
      <w:pPr>
        <w:spacing w:after="200"/>
      </w:pPr>
      <w:r>
        <w:rPr>
          <w:rFonts w:ascii="Arial" w:cs="Arial" w:eastAsia="Arial" w:hAnsi="Arial"/>
          <w:b/>
          <w:bCs/>
          <w:sz w:val="22"/>
          <w:szCs w:val="22"/>
        </w:rPr>
        <w:t xml:space="preserve">This is not a protocol failure, DAO operational loss, or shared community obligation.</w:t>
      </w:r>
      <w:r>
        <w:rPr>
          <w:rFonts w:ascii="Arial" w:cs="Arial" w:eastAsia="Arial" w:hAnsi="Arial"/>
          <w:sz w:val="22"/>
          <w:szCs w:val="22"/>
        </w:rPr>
        <w:t xml:space="preserve"> This is an individual borrower who took leveraged positions across two wallets, retained the proceeds, watched the collateral collapse, and left.</w:t>
      </w:r>
    </w:p>
    <w:p>
      <w:pPr>
        <w:pStyle w:val="Heading1"/>
      </w:pPr>
      <w:r>
        <w:t xml:space="preserve">4. The Cost of Delay</w:t>
      </w:r>
    </w:p>
    <w:p>
      <w:pPr>
        <w:spacing w:after="200"/>
      </w:pPr>
      <w:r>
        <w:rPr>
          <w:rFonts w:ascii="Arial" w:cs="Arial" w:eastAsia="Arial" w:hAnsi="Arial"/>
          <w:sz w:val="22"/>
          <w:szCs w:val="22"/>
        </w:rPr>
        <w:t xml:space="preserve">At 100% utilization, the pool’s semi-logarithmic interest rate model charges 34.99% APY on the entire $131,060.88 in outstanding debt. Samuel’s positions accrue their proportional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Period</w:t>
            </w:r>
          </w:p>
        </w:tc>
        <w:tc>
          <w:tcPr>
            <w:tcW w:type="dxa" w:w="234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Interest on Samuel’s Debt</w:t>
            </w:r>
          </w:p>
        </w:tc>
        <w:tc>
          <w:tcPr>
            <w:tcW w:type="dxa" w:w="234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Interest on Total Pool</w:t>
            </w:r>
          </w:p>
        </w:tc>
        <w:tc>
          <w:tcPr>
            <w:tcW w:type="dxa" w:w="234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Samuel’s New Total</w:t>
            </w:r>
          </w:p>
        </w:tc>
      </w:tr>
      <w:tr>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sz w:val="20"/>
                <w:szCs w:val="20"/>
              </w:rPr>
              <w:t xml:space="preserve">Per Month</w:t>
            </w:r>
          </w:p>
        </w:tc>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991B1B"/>
                <w:sz w:val="20"/>
                <w:szCs w:val="20"/>
              </w:rPr>
              <w:t xml:space="preserve">+$2,444</w:t>
            </w:r>
          </w:p>
        </w:tc>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color w:val="991B1B"/>
                <w:sz w:val="20"/>
                <w:szCs w:val="20"/>
              </w:rPr>
              <w:t xml:space="preserve">+$3,820</w:t>
            </w:r>
          </w:p>
        </w:tc>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sz w:val="20"/>
                <w:szCs w:val="20"/>
              </w:rPr>
              <w:t xml:space="preserve">$86,261</w:t>
            </w:r>
          </w:p>
        </w:tc>
      </w:tr>
      <w:tr>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Per Quarter</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b/>
                <w:bCs/>
                <w:color w:val="991B1B"/>
                <w:sz w:val="20"/>
                <w:szCs w:val="20"/>
              </w:rPr>
              <w:t xml:space="preserve">+$7,643</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color w:val="991B1B"/>
                <w:sz w:val="20"/>
                <w:szCs w:val="20"/>
              </w:rPr>
              <w:t xml:space="preserve">+$11,940</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sz w:val="20"/>
                <w:szCs w:val="20"/>
              </w:rPr>
              <w:t xml:space="preserve">$91,460</w:t>
            </w:r>
          </w:p>
        </w:tc>
      </w:tr>
      <w:tr>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sz w:val="20"/>
                <w:szCs w:val="20"/>
              </w:rPr>
              <w:t xml:space="preserve">Per Year</w:t>
            </w:r>
          </w:p>
        </w:tc>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991B1B"/>
                <w:sz w:val="20"/>
                <w:szCs w:val="20"/>
              </w:rPr>
              <w:t xml:space="preserve">+$29,323</w:t>
            </w:r>
          </w:p>
        </w:tc>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color w:val="991B1B"/>
                <w:sz w:val="20"/>
                <w:szCs w:val="20"/>
              </w:rPr>
              <w:t xml:space="preserve">+$45,860</w:t>
            </w:r>
          </w:p>
        </w:tc>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sz w:val="20"/>
                <w:szCs w:val="20"/>
              </w:rPr>
              <w:t xml:space="preserve">$113,140</w:t>
            </w:r>
          </w:p>
        </w:tc>
      </w:tr>
    </w:tbl>
    <w:p>
      <w:pPr>
        <w:spacing w:after="120"/>
      </w:pPr>
    </w:p>
    <w:p>
      <w:pPr>
        <w:spacing w:after="200"/>
      </w:pPr>
      <w:r>
        <w:rPr>
          <w:rFonts w:ascii="Arial" w:cs="Arial" w:eastAsia="Arial" w:hAnsi="Arial"/>
          <w:b/>
          <w:bCs/>
          <w:sz w:val="22"/>
          <w:szCs w:val="22"/>
        </w:rPr>
        <w:t xml:space="preserve">Samuel’s debt grows by approximately $2,444 every month</w:t>
      </w:r>
      <w:r>
        <w:rPr>
          <w:rFonts w:ascii="Arial" w:cs="Arial" w:eastAsia="Arial" w:hAnsi="Arial"/>
          <w:sz w:val="22"/>
          <w:szCs w:val="22"/>
        </w:rPr>
        <w:t xml:space="preserve"> that passes without resolution. In one year of inaction, his $83,817 obligation becomes $113,140. Swift action is not merely preferable — it is financially imperative for all parties.</w:t>
      </w:r>
    </w:p>
    <w:p>
      <w:pPr>
        <w:pStyle w:val="Heading1"/>
      </w:pPr>
      <w:r>
        <w:t xml:space="preserve">5. Revenue vs. Debt</w:t>
      </w:r>
    </w:p>
    <w:p>
      <w:pPr>
        <w:spacing w:after="200"/>
      </w:pPr>
      <w:r>
        <w:rPr>
          <w:rFonts w:ascii="Arial" w:cs="Arial" w:eastAsia="Arial" w:hAnsi="Arial"/>
          <w:sz w:val="22"/>
          <w:szCs w:val="22"/>
        </w:rPr>
        <w:t xml:space="preserve">The DAO’s current revenue cannot resolve this debt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c>
          <w:tcPr>
            <w:tcW w:type="dxa" w:w="516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Revenue Source</w:t>
            </w:r>
          </w:p>
        </w:tc>
        <w:tc>
          <w:tcPr>
            <w:tcW w:type="dxa" w:w="42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Amount</w:t>
            </w:r>
          </w:p>
        </w:tc>
      </w:tr>
      <w:tr>
        <w:tc>
          <w:tcPr>
            <w:tcW w:type="dxa" w:w="51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sz w:val="20"/>
                <w:szCs w:val="20"/>
              </w:rPr>
              <w:t xml:space="preserve">Ethereum mainnet auctions (9 completed)</w:t>
            </w:r>
          </w:p>
        </w:tc>
        <w:tc>
          <w:tcPr>
            <w:tcW w:type="dxa" w:w="4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sz w:val="20"/>
                <w:szCs w:val="20"/>
              </w:rPr>
              <w:t xml:space="preserve">~0.075 ETH (~$210 total)</w:t>
            </w:r>
          </w:p>
        </w:tc>
      </w:tr>
      <w:tr>
        <w:tc>
          <w:tcPr>
            <w:tcW w:type="dxa" w:w="51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sz w:val="20"/>
                <w:szCs w:val="20"/>
              </w:rPr>
              <w:t xml:space="preserve">Fraxtal auctions (all of 2025, estimated)</w:t>
            </w:r>
          </w:p>
        </w:tc>
        <w:tc>
          <w:tcPr>
            <w:tcW w:type="dxa" w:w="4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sz w:val="20"/>
                <w:szCs w:val="20"/>
              </w:rPr>
              <w:t xml:space="preserve">~$1,000–$3,000 in SQUID value</w:t>
            </w:r>
          </w:p>
        </w:tc>
      </w:tr>
      <w:tr>
        <w:tc>
          <w:tcPr>
            <w:tcW w:type="dxa" w:w="51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sz w:val="20"/>
                <w:szCs w:val="20"/>
              </w:rPr>
              <w:t xml:space="preserve">Monthly interest accrual on Samuel’s debt alone</w:t>
            </w:r>
          </w:p>
        </w:tc>
        <w:tc>
          <w:tcPr>
            <w:tcW w:type="dxa" w:w="4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991B1B"/>
                <w:sz w:val="20"/>
                <w:szCs w:val="20"/>
              </w:rPr>
              <w:t xml:space="preserve">+$2,444/month (growing)</w:t>
            </w:r>
          </w:p>
        </w:tc>
      </w:tr>
    </w:tbl>
    <w:p>
      <w:pPr>
        <w:spacing w:after="120"/>
      </w:pPr>
    </w:p>
    <w:p>
      <w:pPr>
        <w:spacing w:after="200"/>
      </w:pPr>
      <w:r>
        <w:rPr>
          <w:rFonts w:ascii="Arial" w:cs="Arial" w:eastAsia="Arial" w:hAnsi="Arial"/>
          <w:b/>
          <w:bCs/>
          <w:sz w:val="22"/>
          <w:szCs w:val="22"/>
        </w:rPr>
        <w:t xml:space="preserve">Current auction revenue does not cover a single day of interest accrual on Samuel’s positions.</w:t>
      </w:r>
      <w:r>
        <w:rPr>
          <w:rFonts w:ascii="Arial" w:cs="Arial" w:eastAsia="Arial" w:hAnsi="Arial"/>
          <w:sz w:val="22"/>
          <w:szCs w:val="22"/>
        </w:rPr>
        <w:t xml:space="preserve"> No revenue allocation split — 50/50, 80/20, or 100/0 — can meaningfully address $83,817 in debt when monthly revenue is measured in hundreds of dollars and monthly interest in thousands. Samuel’s direct participation in repayment is mathematically necessary.</w:t>
      </w:r>
    </w:p>
    <w:p>
      <w:r>
        <w:br w:type="page"/>
      </w:r>
    </w:p>
    <w:p>
      <w:pPr>
        <w:pStyle w:val="Heading1"/>
      </w:pPr>
      <w:r>
        <w:t xml:space="preserve">6. Proposed Reconstruction Framework</w:t>
      </w:r>
    </w:p>
    <w:p>
      <w:pPr>
        <w:pStyle w:val="Heading2"/>
      </w:pPr>
      <w:r>
        <w:t xml:space="preserve">6.1 Step 1 — Formal Notification (Week 1 After Passage)</w:t>
      </w:r>
    </w:p>
    <w:p>
      <w:pPr>
        <w:spacing w:after="200"/>
      </w:pPr>
      <w:r>
        <w:rPr>
          <w:rFonts w:ascii="Arial" w:cs="Arial" w:eastAsia="Arial" w:hAnsi="Arial"/>
          <w:sz w:val="22"/>
          <w:szCs w:val="22"/>
        </w:rPr>
        <w:t xml:space="preserve">Upon passage of this proposal, the DAO multisig will issue a formal public communication addressed to Samuel McCulloch, delivered via all available channels (Telegram “Squid Cave,” X/Twitter, Leviathan News Substack, and direct message). The notification will document:</w:t>
      </w:r>
    </w:p>
    <w:p>
      <w:pPr>
        <w:pStyle w:val="ListParagraph"/>
        <w:numPr>
          <w:ilvl w:val="0"/>
          <w:numId w:val="2"/>
        </w:numPr>
        <w:spacing w:after="200"/>
      </w:pPr>
      <w:r>
        <w:rPr>
          <w:rFonts w:ascii="Arial" w:cs="Arial" w:eastAsia="Arial" w:hAnsi="Arial"/>
          <w:sz w:val="22"/>
          <w:szCs w:val="22"/>
        </w:rPr>
        <w:t xml:space="preserve">His two wallet addresses and exact debt per wallet ($81,536.78 and $2,280.55)</w:t>
      </w:r>
    </w:p>
    <w:p>
      <w:pPr>
        <w:pStyle w:val="ListParagraph"/>
        <w:numPr>
          <w:ilvl w:val="0"/>
          <w:numId w:val="2"/>
        </w:numPr>
        <w:spacing w:after="200"/>
      </w:pPr>
      <w:r>
        <w:rPr>
          <w:rFonts w:ascii="Arial" w:cs="Arial" w:eastAsia="Arial" w:hAnsi="Arial"/>
          <w:sz w:val="22"/>
          <w:szCs w:val="22"/>
        </w:rPr>
        <w:t xml:space="preserve">Combined total obligation: $83,817.33 (as of Feb 25, 2026, accruing at 34.99% APY)</w:t>
      </w:r>
    </w:p>
    <w:p>
      <w:pPr>
        <w:pStyle w:val="ListParagraph"/>
        <w:numPr>
          <w:ilvl w:val="0"/>
          <w:numId w:val="2"/>
        </w:numPr>
        <w:spacing w:after="200"/>
      </w:pPr>
      <w:r>
        <w:rPr>
          <w:rFonts w:ascii="Arial" w:cs="Arial" w:eastAsia="Arial" w:hAnsi="Arial"/>
          <w:sz w:val="22"/>
          <w:szCs w:val="22"/>
        </w:rPr>
        <w:t xml:space="preserve">The impact on vault lenders whose funds are locked at 100% utilization</w:t>
      </w:r>
    </w:p>
    <w:p>
      <w:pPr>
        <w:pStyle w:val="ListParagraph"/>
        <w:numPr>
          <w:ilvl w:val="0"/>
          <w:numId w:val="2"/>
        </w:numPr>
        <w:spacing w:after="200"/>
      </w:pPr>
      <w:r>
        <w:rPr>
          <w:rFonts w:ascii="Arial" w:cs="Arial" w:eastAsia="Arial" w:hAnsi="Arial"/>
          <w:sz w:val="22"/>
          <w:szCs w:val="22"/>
        </w:rPr>
        <w:t xml:space="preserve">A 30-day window to respond with a repayment proposal</w:t>
      </w:r>
    </w:p>
    <w:p>
      <w:pPr>
        <w:pStyle w:val="Heading2"/>
      </w:pPr>
      <w:r>
        <w:t xml:space="preserve">6.2 Step 2 — Settlement Window (30 Days)</w:t>
      </w:r>
    </w:p>
    <w:p>
      <w:pPr>
        <w:spacing w:after="200"/>
      </w:pPr>
      <w:r>
        <w:rPr>
          <w:rFonts w:ascii="Arial" w:cs="Arial" w:eastAsia="Arial" w:hAnsi="Arial"/>
          <w:sz w:val="22"/>
          <w:szCs w:val="22"/>
        </w:rPr>
        <w:t xml:space="preserve">Samuel will have 30 calendar days from the date of formal notification to respond with one of the following:</w:t>
      </w:r>
    </w:p>
    <w:p>
      <w:pPr>
        <w:pStyle w:val="ListParagraph"/>
        <w:numPr>
          <w:ilvl w:val="0"/>
          <w:numId w:val="3"/>
        </w:numPr>
        <w:spacing w:after="200"/>
      </w:pPr>
      <w:r>
        <w:rPr>
          <w:rFonts w:ascii="Arial" w:cs="Arial" w:eastAsia="Arial" w:hAnsi="Arial"/>
          <w:b/>
          <w:bCs/>
          <w:sz w:val="22"/>
          <w:szCs w:val="22"/>
        </w:rPr>
        <w:t xml:space="preserve">Option A — Full Repayment Commitment: </w:t>
      </w:r>
      <w:r>
        <w:rPr>
          <w:rFonts w:ascii="Arial" w:cs="Arial" w:eastAsia="Arial" w:hAnsi="Arial"/>
          <w:sz w:val="22"/>
          <w:szCs w:val="22"/>
        </w:rPr>
        <w:t xml:space="preserve">A plan to repay the full outstanding balance in crvUSD, USDC, or ETH equivalent, over a period of up to 12 months.</w:t>
      </w:r>
    </w:p>
    <w:p>
      <w:pPr>
        <w:pStyle w:val="ListParagraph"/>
        <w:numPr>
          <w:ilvl w:val="0"/>
          <w:numId w:val="3"/>
        </w:numPr>
        <w:spacing w:after="200"/>
      </w:pPr>
      <w:r>
        <w:rPr>
          <w:rFonts w:ascii="Arial" w:cs="Arial" w:eastAsia="Arial" w:hAnsi="Arial"/>
          <w:b/>
          <w:bCs/>
          <w:sz w:val="22"/>
          <w:szCs w:val="22"/>
        </w:rPr>
        <w:t xml:space="preserve">Option B — Partial Settlement: </w:t>
      </w:r>
      <w:r>
        <w:rPr>
          <w:rFonts w:ascii="Arial" w:cs="Arial" w:eastAsia="Arial" w:hAnsi="Arial"/>
          <w:sz w:val="22"/>
          <w:szCs w:val="22"/>
        </w:rPr>
        <w:t xml:space="preserve">The DAO will consider settlement offers of 60–80% of the current principal (approximately $50,290–$67,054), waiving all accrued interest, payable over up to 6 months. This represents a significant concession by the DAO and its lenders.</w:t>
      </w:r>
    </w:p>
    <w:p>
      <w:pPr>
        <w:pStyle w:val="ListParagraph"/>
        <w:numPr>
          <w:ilvl w:val="0"/>
          <w:numId w:val="3"/>
        </w:numPr>
        <w:spacing w:after="200"/>
      </w:pPr>
      <w:r>
        <w:rPr>
          <w:rFonts w:ascii="Arial" w:cs="Arial" w:eastAsia="Arial" w:hAnsi="Arial"/>
          <w:b/>
          <w:bCs/>
          <w:sz w:val="22"/>
          <w:szCs w:val="22"/>
        </w:rPr>
        <w:t xml:space="preserve">Option C — Counter-Proposal: </w:t>
      </w:r>
      <w:r>
        <w:rPr>
          <w:rFonts w:ascii="Arial" w:cs="Arial" w:eastAsia="Arial" w:hAnsi="Arial"/>
          <w:sz w:val="22"/>
          <w:szCs w:val="22"/>
        </w:rPr>
        <w:t xml:space="preserve">Any alternative repayment structure Samuel wishes to propose, which will be evaluated by the community through a follow-up Snapshot vote.</w:t>
      </w:r>
    </w:p>
    <w:p>
      <w:pPr>
        <w:pStyle w:val="ListParagraph"/>
        <w:numPr>
          <w:ilvl w:val="0"/>
          <w:numId w:val="3"/>
        </w:numPr>
        <w:spacing w:after="200"/>
      </w:pPr>
      <w:r>
        <w:rPr>
          <w:rFonts w:ascii="Arial" w:cs="Arial" w:eastAsia="Arial" w:hAnsi="Arial"/>
          <w:b/>
          <w:bCs/>
          <w:sz w:val="22"/>
          <w:szCs w:val="22"/>
        </w:rPr>
        <w:t xml:space="preserve">Option D — Documented Inability: </w:t>
      </w:r>
      <w:r>
        <w:rPr>
          <w:rFonts w:ascii="Arial" w:cs="Arial" w:eastAsia="Arial" w:hAnsi="Arial"/>
          <w:sz w:val="22"/>
          <w:szCs w:val="22"/>
        </w:rPr>
        <w:t xml:space="preserve">A documented explanation of genuine inability to repay, which the DAO will assess in good faith.</w:t>
      </w:r>
    </w:p>
    <w:p>
      <w:pPr>
        <w:spacing w:after="120"/>
      </w:pPr>
    </w:p>
    <w:p>
      <w:pPr>
        <w:spacing w:after="200"/>
      </w:pPr>
      <w:r>
        <w:rPr>
          <w:rFonts w:ascii="Arial" w:cs="Arial" w:eastAsia="Arial" w:hAnsi="Arial"/>
          <w:b/>
          <w:bCs/>
          <w:sz w:val="22"/>
          <w:szCs w:val="22"/>
        </w:rPr>
        <w:t xml:space="preserve">Good faith protections: </w:t>
      </w:r>
      <w:r>
        <w:rPr>
          <w:rFonts w:ascii="Arial" w:cs="Arial" w:eastAsia="Arial" w:hAnsi="Arial"/>
          <w:sz w:val="22"/>
          <w:szCs w:val="22"/>
        </w:rPr>
        <w:t xml:space="preserve">If Samuel engages constructively, the DAO commits to working collaboratively toward a mutually acceptable resolution. The goal is recovery, not punishment.</w:t>
      </w:r>
    </w:p>
    <w:p>
      <w:pPr>
        <w:pStyle w:val="Heading2"/>
      </w:pPr>
      <w:r>
        <w:t xml:space="preserve">6.3 Step 3 — Scenario Determination (Day 31)</w:t>
      </w:r>
    </w:p>
    <w:p>
      <w:pPr>
        <w:pStyle w:val="Heading3"/>
      </w:pPr>
      <w:r>
        <w:t xml:space="preserve">Scenario A: Samuel Engages</w:t>
      </w:r>
    </w:p>
    <w:p>
      <w:pPr>
        <w:spacing w:after="200"/>
      </w:pPr>
      <w:r>
        <w:rPr>
          <w:rFonts w:ascii="Arial" w:cs="Arial" w:eastAsia="Arial" w:hAnsi="Arial"/>
          <w:sz w:val="22"/>
          <w:szCs w:val="22"/>
        </w:rPr>
        <w:t xml:space="preserve">If Samuel commits to any form of repayment, the DAO will formalize the agreement through a follow-up Snapshot vote and begin applying his payments directly to the lending pool. The DAO may supplement with modest auction revenue allocation to accelerate lender recovery, with the specific split determined by a subsequent proposal based on the agreed repayment terms.</w:t>
      </w:r>
    </w:p>
    <w:p>
      <w:pPr>
        <w:pStyle w:val="Heading3"/>
      </w:pPr>
      <w:r>
        <w:t xml:space="preserve">Scenario B: Samuel Does Not Engage</w:t>
      </w:r>
    </w:p>
    <w:p>
      <w:pPr>
        <w:spacing w:after="200"/>
      </w:pPr>
      <w:r>
        <w:rPr>
          <w:rFonts w:ascii="Arial" w:cs="Arial" w:eastAsia="Arial" w:hAnsi="Arial"/>
          <w:sz w:val="22"/>
          <w:szCs w:val="22"/>
        </w:rPr>
        <w:t xml:space="preserve">If Samuel fails to respond within 30 days or declines all repayment options, the DAO will:</w:t>
      </w:r>
    </w:p>
    <w:p>
      <w:pPr>
        <w:pStyle w:val="ListParagraph"/>
        <w:numPr>
          <w:ilvl w:val="0"/>
          <w:numId w:val="4"/>
        </w:numPr>
        <w:spacing w:after="200"/>
      </w:pPr>
      <w:r>
        <w:rPr>
          <w:rFonts w:ascii="Arial" w:cs="Arial" w:eastAsia="Arial" w:hAnsi="Arial"/>
          <w:sz w:val="22"/>
          <w:szCs w:val="22"/>
        </w:rPr>
        <w:t xml:space="preserve">Publish a transparent public statement documenting his non-cooperation, both wallet addresses, and exact debt amounts.</w:t>
      </w:r>
    </w:p>
    <w:p>
      <w:pPr>
        <w:pStyle w:val="ListParagraph"/>
        <w:numPr>
          <w:ilvl w:val="0"/>
          <w:numId w:val="4"/>
        </w:numPr>
        <w:spacing w:after="200"/>
      </w:pPr>
      <w:r>
        <w:rPr>
          <w:rFonts w:ascii="Arial" w:cs="Arial" w:eastAsia="Arial" w:hAnsi="Arial"/>
          <w:sz w:val="22"/>
          <w:szCs w:val="22"/>
        </w:rPr>
        <w:t xml:space="preserve">Begin allocating available auction revenue toward lender recovery (specific allocation ratio to be determined by a follow-up proposal based on revenue growth trajectory).</w:t>
      </w:r>
    </w:p>
    <w:p>
      <w:pPr>
        <w:pStyle w:val="ListParagraph"/>
        <w:numPr>
          <w:ilvl w:val="0"/>
          <w:numId w:val="4"/>
        </w:numPr>
        <w:spacing w:after="200"/>
      </w:pPr>
      <w:r>
        <w:rPr>
          <w:rFonts w:ascii="Arial" w:cs="Arial" w:eastAsia="Arial" w:hAnsi="Arial"/>
          <w:sz w:val="22"/>
          <w:szCs w:val="22"/>
        </w:rPr>
        <w:t xml:space="preserve">Explore additional measures including expanded revenue generation, formal demand letters, and any other avenues the community deems appropriate through governance.</w:t>
      </w:r>
    </w:p>
    <w:p>
      <w:pPr>
        <w:pStyle w:val="Heading2"/>
      </w:pPr>
      <w:r>
        <w:t xml:space="preserve">6.4 Residual crvUSD Recovery</w:t>
      </w:r>
    </w:p>
    <w:p>
      <w:pPr>
        <w:spacing w:after="200"/>
      </w:pPr>
      <w:r>
        <w:rPr>
          <w:rFonts w:ascii="Arial" w:cs="Arial" w:eastAsia="Arial" w:hAnsi="Arial"/>
          <w:sz w:val="22"/>
          <w:szCs w:val="22"/>
        </w:rPr>
        <w:t xml:space="preserve">Approximately $4,205.42 in crvUSD remains trapped in LLAMMA bands across Samuel’s two positions ($3,728.82 in Wallet 1, $476.60 in Wallet 2). The DAO should investigate whether this residual can be recovered through hard liquidation calls or other on-chain mechanisms, and apply any recovered funds directly to lender repayment.</w:t>
      </w:r>
    </w:p>
    <w:p>
      <w:pPr>
        <w:pStyle w:val="Heading1"/>
      </w:pPr>
      <w:r>
        <w:t xml:space="preserve">7. Verified Contract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Contract</w:t>
            </w:r>
          </w:p>
        </w:tc>
        <w:tc>
          <w:tcPr>
            <w:tcW w:type="dxa" w:w="656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Address (Fraxtal)</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sz w:val="20"/>
                <w:szCs w:val="20"/>
              </w:rPr>
              <w:t xml:space="preserve">Controller</w:t>
            </w:r>
          </w:p>
        </w:tc>
        <w:tc>
          <w:tcPr>
            <w:tcW w:type="dxa" w:w="6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sz w:val="20"/>
                <w:szCs w:val="20"/>
              </w:rPr>
              <w:t xml:space="preserve">0xBF55Bb9463bBbB6aD724061910a450939E248eA6</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Vault (ERC-4626)</w:t>
            </w:r>
          </w:p>
        </w:tc>
        <w:tc>
          <w:tcPr>
            <w:tcW w:type="dxa" w:w="6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sz w:val="20"/>
                <w:szCs w:val="20"/>
              </w:rPr>
              <w:t xml:space="preserve">0x5071ae9579db394f0a62e2fd3cefa6a1c434f61e</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sz w:val="20"/>
                <w:szCs w:val="20"/>
              </w:rPr>
              <w:t xml:space="preserve">AMM / LLAMMA</w:t>
            </w:r>
          </w:p>
        </w:tc>
        <w:tc>
          <w:tcPr>
            <w:tcW w:type="dxa" w:w="6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sz w:val="20"/>
                <w:szCs w:val="20"/>
              </w:rPr>
              <w:t xml:space="preserve">0x8fecf70b90ed40512c0608565eb9a53af0ef42ad</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Monetary Policy</w:t>
            </w:r>
          </w:p>
        </w:tc>
        <w:tc>
          <w:tcPr>
            <w:tcW w:type="dxa" w:w="6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sz w:val="20"/>
                <w:szCs w:val="20"/>
              </w:rPr>
              <w:t xml:space="preserve">0x5607772d573E09F69FDfC292b23B8E99918be0A3</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sz w:val="20"/>
                <w:szCs w:val="20"/>
              </w:rPr>
              <w:t xml:space="preserve">Factory</w:t>
            </w:r>
          </w:p>
        </w:tc>
        <w:tc>
          <w:tcPr>
            <w:tcW w:type="dxa" w:w="6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sz w:val="20"/>
                <w:szCs w:val="20"/>
              </w:rPr>
              <w:t xml:space="preserve">0xf3c9bdAB17B7016fBE3B77D17b1602A7db93ac66</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crvUSD (Borrowed Token)</w:t>
            </w:r>
          </w:p>
        </w:tc>
        <w:tc>
          <w:tcPr>
            <w:tcW w:type="dxa" w:w="6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sz w:val="20"/>
                <w:szCs w:val="20"/>
              </w:rPr>
              <w:t xml:space="preserve">0xB102f7Efa0d5dE071A8D37B3548e1C7CB148Caf3</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sz w:val="20"/>
                <w:szCs w:val="20"/>
              </w:rPr>
              <w:t xml:space="preserve">SQUID (Collateral Token)</w:t>
            </w:r>
          </w:p>
        </w:tc>
        <w:tc>
          <w:tcPr>
            <w:tcW w:type="dxa" w:w="6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sz w:val="20"/>
                <w:szCs w:val="20"/>
              </w:rPr>
              <w:t xml:space="preserve">0x6e58089d8E8f664823d26454f49A5A0f2fF697Fe</w:t>
            </w:r>
          </w:p>
        </w:tc>
      </w:tr>
    </w:tbl>
    <w:p>
      <w:pPr>
        <w:spacing w:after="120"/>
      </w:pPr>
    </w:p>
    <w:p>
      <w:pPr>
        <w:pStyle w:val="Heading1"/>
      </w:pPr>
      <w:r>
        <w:t xml:space="preserve">8. Transparency &amp; Verification</w:t>
      </w:r>
    </w:p>
    <w:p>
      <w:pPr>
        <w:pStyle w:val="ListParagraph"/>
        <w:numPr>
          <w:ilvl w:val="0"/>
          <w:numId w:val="5"/>
        </w:numPr>
        <w:spacing w:after="200"/>
      </w:pPr>
      <w:r>
        <w:rPr>
          <w:rFonts w:ascii="Arial" w:cs="Arial" w:eastAsia="Arial" w:hAnsi="Arial"/>
          <w:b/>
          <w:bCs/>
          <w:sz w:val="22"/>
          <w:szCs w:val="22"/>
        </w:rPr>
        <w:t xml:space="preserve">On-Chain Reproducibility: </w:t>
      </w:r>
      <w:r>
        <w:rPr>
          <w:rFonts w:ascii="Arial" w:cs="Arial" w:eastAsia="Arial" w:hAnsi="Arial"/>
          <w:sz w:val="22"/>
          <w:szCs w:val="22"/>
        </w:rPr>
        <w:t xml:space="preserve">The ethers.js extraction script (extract_pool_data.js) and raw JSON output (pool_data.json) are attached as appendices. Any community member can re-run the script against the public Fraxtal RPC (rpc.frax.com) to independently verify all figures in this proposal.</w:t>
      </w:r>
    </w:p>
    <w:p>
      <w:pPr>
        <w:pStyle w:val="ListParagraph"/>
        <w:numPr>
          <w:ilvl w:val="0"/>
          <w:numId w:val="5"/>
        </w:numPr>
        <w:spacing w:after="200"/>
      </w:pPr>
      <w:r>
        <w:rPr>
          <w:rFonts w:ascii="Arial" w:cs="Arial" w:eastAsia="Arial" w:hAnsi="Arial"/>
          <w:b/>
          <w:bCs/>
          <w:sz w:val="22"/>
          <w:szCs w:val="22"/>
        </w:rPr>
        <w:t xml:space="preserve">Monthly Debt Dashboard: </w:t>
      </w:r>
      <w:r>
        <w:rPr>
          <w:rFonts w:ascii="Arial" w:cs="Arial" w:eastAsia="Arial" w:hAnsi="Arial"/>
          <w:sz w:val="22"/>
          <w:szCs w:val="22"/>
        </w:rPr>
        <w:t xml:space="preserve">Following passage, each Leviathan News newsletter will include an updated debt dashboard showing: total remaining debt, any payments received, interest accrued since last report, and projected payoff timeline.</w:t>
      </w:r>
    </w:p>
    <w:p>
      <w:pPr>
        <w:pStyle w:val="ListParagraph"/>
        <w:numPr>
          <w:ilvl w:val="0"/>
          <w:numId w:val="5"/>
        </w:numPr>
        <w:spacing w:after="200"/>
      </w:pPr>
      <w:r>
        <w:rPr>
          <w:rFonts w:ascii="Arial" w:cs="Arial" w:eastAsia="Arial" w:hAnsi="Arial"/>
          <w:b/>
          <w:bCs/>
          <w:sz w:val="22"/>
          <w:szCs w:val="22"/>
        </w:rPr>
        <w:t xml:space="preserve">On-Chain Execution: </w:t>
      </w:r>
      <w:r>
        <w:rPr>
          <w:rFonts w:ascii="Arial" w:cs="Arial" w:eastAsia="Arial" w:hAnsi="Arial"/>
          <w:sz w:val="22"/>
          <w:szCs w:val="22"/>
        </w:rPr>
        <w:t xml:space="preserve">All repayment transactions will be executed on-chain via the DAO multisig, with transaction hashes published alongside each report.</w:t>
      </w:r>
    </w:p>
    <w:p>
      <w:pPr>
        <w:pStyle w:val="Heading1"/>
      </w:pPr>
      <w:r>
        <w:t xml:space="preserve">9.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Date</w:t>
            </w:r>
          </w:p>
        </w:tc>
        <w:tc>
          <w:tcPr>
            <w:tcW w:type="dxa" w:w="676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Action</w:t>
            </w:r>
          </w:p>
        </w:tc>
      </w:tr>
      <w:tr>
        <w:tc>
          <w:tcPr>
            <w:tcW w:type="dxa" w:w="26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Late Feb 2026</w:t>
            </w:r>
          </w:p>
        </w:tc>
        <w:tc>
          <w:tcPr>
            <w:tcW w:type="dxa" w:w="67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sz w:val="20"/>
                <w:szCs w:val="20"/>
              </w:rPr>
              <w:t xml:space="preserve">Discussion period opens; community feedback collected</w:t>
            </w:r>
          </w:p>
        </w:tc>
      </w:tr>
      <w:tr>
        <w:tc>
          <w:tcPr>
            <w:tcW w:type="dxa" w:w="26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Early Mar 2026</w:t>
            </w:r>
          </w:p>
        </w:tc>
        <w:tc>
          <w:tcPr>
            <w:tcW w:type="dxa" w:w="6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Snapshot vote (SDP-XX) — 3-day voting period per CUTTLE rules</w:t>
            </w:r>
          </w:p>
        </w:tc>
      </w:tr>
      <w:tr>
        <w:tc>
          <w:tcPr>
            <w:tcW w:type="dxa" w:w="26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Upon Passage</w:t>
            </w:r>
          </w:p>
        </w:tc>
        <w:tc>
          <w:tcPr>
            <w:tcW w:type="dxa" w:w="67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sz w:val="20"/>
                <w:szCs w:val="20"/>
              </w:rPr>
              <w:t xml:space="preserve">Formal notification sent to Samuel McCulloch via all channels</w:t>
            </w:r>
          </w:p>
        </w:tc>
      </w:tr>
      <w:tr>
        <w:tc>
          <w:tcPr>
            <w:tcW w:type="dxa" w:w="26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+30 Days</w:t>
            </w:r>
          </w:p>
        </w:tc>
        <w:tc>
          <w:tcPr>
            <w:tcW w:type="dxa" w:w="6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Response deadline; scenario determination (A or B)</w:t>
            </w:r>
          </w:p>
        </w:tc>
      </w:tr>
      <w:tr>
        <w:tc>
          <w:tcPr>
            <w:tcW w:type="dxa" w:w="26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+31 Days</w:t>
            </w:r>
          </w:p>
        </w:tc>
        <w:tc>
          <w:tcPr>
            <w:tcW w:type="dxa" w:w="67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sz w:val="20"/>
                <w:szCs w:val="20"/>
              </w:rPr>
              <w:t xml:space="preserve">Follow-up proposal for revenue allocation if Scenario B</w:t>
            </w:r>
          </w:p>
        </w:tc>
      </w:tr>
      <w:tr>
        <w:tc>
          <w:tcPr>
            <w:tcW w:type="dxa" w:w="26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Monthly</w:t>
            </w:r>
          </w:p>
        </w:tc>
        <w:tc>
          <w:tcPr>
            <w:tcW w:type="dxa" w:w="6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Debt dashboard published in newsletter with on-chain verification</w:t>
            </w:r>
          </w:p>
        </w:tc>
      </w:tr>
    </w:tbl>
    <w:p>
      <w:pPr>
        <w:spacing w:after="120"/>
      </w:pPr>
    </w:p>
    <w:p>
      <w:pPr>
        <w:pStyle w:val="Heading1"/>
      </w:pPr>
      <w:r>
        <w:t xml:space="preserve">10. Vote</w:t>
      </w:r>
    </w:p>
    <w:p>
      <w:pPr>
        <w:spacing w:after="200"/>
      </w:pPr>
      <w:r>
        <w:rPr>
          <w:rFonts w:ascii="Arial" w:cs="Arial" w:eastAsia="Arial" w:hAnsi="Arial"/>
          <w:b/>
          <w:bCs/>
          <w:sz w:val="22"/>
          <w:szCs w:val="22"/>
        </w:rPr>
        <w:t xml:space="preserve">FOR: </w:t>
      </w:r>
      <w:r>
        <w:rPr>
          <w:rFonts w:ascii="Arial" w:cs="Arial" w:eastAsia="Arial" w:hAnsi="Arial"/>
          <w:sz w:val="22"/>
          <w:szCs w:val="22"/>
        </w:rPr>
        <w:t xml:space="preserve">Adopt the DAO Reconstruction &amp; Debt Recovery Framework. Authorize the DAO multisig to send formal notification to Samuel McCulloch regarding his $83,817.33 in bad debt across two wallets and initiate the 30-day settlement window. Authorize publication of non-cooperation if he fails to respond (Scenario B).</w:t>
      </w:r>
    </w:p>
    <w:p>
      <w:pPr>
        <w:spacing w:after="120"/>
      </w:pPr>
    </w:p>
    <w:p>
      <w:pPr>
        <w:spacing w:after="200"/>
      </w:pPr>
      <w:r>
        <w:rPr>
          <w:rFonts w:ascii="Arial" w:cs="Arial" w:eastAsia="Arial" w:hAnsi="Arial"/>
          <w:b/>
          <w:bCs/>
          <w:sz w:val="22"/>
          <w:szCs w:val="22"/>
        </w:rPr>
        <w:t xml:space="preserve">AGAINST: </w:t>
      </w:r>
      <w:r>
        <w:rPr>
          <w:rFonts w:ascii="Arial" w:cs="Arial" w:eastAsia="Arial" w:hAnsi="Arial"/>
          <w:sz w:val="22"/>
          <w:szCs w:val="22"/>
        </w:rPr>
        <w:t xml:space="preserve">Reject this framework. No formal reconstruction plan or debtor engagement. The DAO continues under the status quo with $83,817.33 (and growing) in unaddressed bad debt from a departed contributor.</w:t>
      </w:r>
    </w:p>
    <w:p>
      <w:pPr>
        <w:spacing w:after="120"/>
      </w:pPr>
    </w:p>
    <w:p>
      <w:pPr>
        <w:spacing w:after="200"/>
      </w:pPr>
      <w:r>
        <w:rPr>
          <w:rFonts w:ascii="Arial" w:cs="Arial" w:eastAsia="Arial" w:hAnsi="Arial"/>
          <w:b/>
          <w:bCs/>
          <w:sz w:val="22"/>
          <w:szCs w:val="22"/>
        </w:rPr>
        <w:t xml:space="preserve">ABSTAIN: </w:t>
      </w:r>
      <w:r>
        <w:rPr>
          <w:rFonts w:ascii="Arial" w:cs="Arial" w:eastAsia="Arial" w:hAnsi="Arial"/>
          <w:sz w:val="22"/>
          <w:szCs w:val="22"/>
        </w:rPr>
        <w:t xml:space="preserve">Acknowledge the proposal without taking a position. Counted toward quorum but not toward the outcome.</w:t>
      </w:r>
    </w:p>
    <w:p>
      <w:pPr>
        <w:spacing w:after="400"/>
      </w:pPr>
    </w:p>
    <w:p>
      <w:pPr>
        <w:pBdr>
          <w:bottom w:val="single" w:color="E0E0E0" w:sz="2" w:space="8"/>
        </w:pBdr>
        <w:spacing w:before="200" w:after="200"/>
      </w:pPr>
    </w:p>
    <w:p>
      <w:pPr>
        <w:spacing w:after="120"/>
      </w:pPr>
    </w:p>
    <w:p>
      <w:pPr>
        <w:spacing w:after="200"/>
      </w:pPr>
      <w:r>
        <w:rPr>
          <w:rFonts w:ascii="Arial" w:cs="Arial" w:eastAsia="Arial" w:hAnsi="Arial"/>
          <w:i/>
          <w:iCs/>
          <w:color w:val="555555"/>
          <w:sz w:val="18"/>
          <w:szCs w:val="18"/>
        </w:rPr>
        <w:t xml:space="preserve">This document was prepared using verified on-chain data extracted from Fraxtal (chain ID 252) at 2026-02-25T10:25:19Z. All figures are reproducible by running the attached extract_pool_data.js script against rpc.frax.com. The raw JSON output (pool_data.json) contains every data point referenced in this proposal.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6"/>
      </w:pBd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On-chain data verified 2026-02-25T10:25:19Z via Fraxtal RPC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6"/>
        <w:szCs w:val="16"/>
      </w:rPr>
      <w:t xml:space="preserve">SQUID DAO  |  Governance Proposal  |  SDP-XX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2026-02-25T10:48:47.096Z</dcterms:created>
  <dcterms:modified xsi:type="dcterms:W3CDTF">2026-02-25T10:48:47.096Z</dcterms:modified>
</cp:coreProperties>
</file>

<file path=docProps/custom.xml><?xml version="1.0" encoding="utf-8"?>
<Properties xmlns="http://schemas.openxmlformats.org/officeDocument/2006/custom-properties" xmlns:vt="http://schemas.openxmlformats.org/officeDocument/2006/docPropsVTypes"/>
</file>