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60"/>
        <w:jc w:val="center"/>
      </w:pPr>
      <w:r>
        <w:rPr>
          <w:rFonts w:ascii="Arial" w:cs="Arial" w:eastAsia="Arial" w:hAnsi="Arial"/>
          <w:b/>
          <w:bCs/>
          <w:color w:val="1A5FA8"/>
          <w:sz w:val="56"/>
          <w:szCs w:val="56"/>
        </w:rPr>
        <w:t xml:space="preserve">DRG Analytics</w:t>
      </w:r>
    </w:p>
    <w:p>
      <w:pPr>
        <w:spacing w:after="200"/>
        <w:jc w:val="center"/>
      </w:pPr>
      <w:r>
        <w:rPr>
          <w:rFonts w:ascii="Arial" w:cs="Arial" w:eastAsia="Arial" w:hAnsi="Arial"/>
          <w:b w:val="false"/>
          <w:bCs w:val="false"/>
          <w:color w:val="0F6E56"/>
          <w:sz w:val="44"/>
          <w:szCs w:val="44"/>
        </w:rPr>
        <w:t xml:space="preserve">Decision Handbook</w:t>
      </w:r>
    </w:p>
    <w:p>
      <w:pPr>
        <w:spacing w:after="800"/>
        <w:jc w:val="center"/>
      </w:pPr>
      <w:r>
        <w:rPr>
          <w:rFonts w:ascii="Arial" w:cs="Arial" w:eastAsia="Arial" w:hAnsi="Arial"/>
          <w:i/>
          <w:iCs/>
          <w:color w:val="666666"/>
          <w:sz w:val="22"/>
          <w:szCs w:val="22"/>
        </w:rPr>
        <w:t xml:space="preserve">Insight &amp; Decision-Making Reference for DRG Data Science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200"/>
              <w:left w:type="dxa" w:w="300"/>
              <w:bottom w:type="dxa" w:w="200"/>
              <w:right w:type="dxa" w:w="300"/>
            </w:tcMar>
          </w:tcPr>
          <w:p>
            <w:pPr>
              <w:spacing w:after="80"/>
            </w:pPr>
            <w:r>
              <w:rPr>
                <w:rFonts w:ascii="Arial" w:cs="Arial" w:eastAsia="Arial" w:hAnsi="Arial"/>
                <w:b/>
                <w:bCs/>
                <w:color w:val="1A5FA8"/>
                <w:sz w:val="22"/>
                <w:szCs w:val="22"/>
              </w:rPr>
              <w:t xml:space="preserve">Covers:</w:t>
            </w:r>
          </w:p>
          <w:p>
            <w:pPr>
              <w:spacing w:after="0"/>
            </w:pPr>
            <w:r>
              <w:rPr>
                <w:rFonts w:ascii="Arial" w:cs="Arial" w:eastAsia="Arial" w:hAnsi="Arial"/>
                <w:color w:val="333333"/>
                <w:sz w:val="21"/>
                <w:szCs w:val="21"/>
              </w:rPr>
              <w:t xml:space="preserve">Medicare IPPS payment formula  •  Metric definitions  •  Outlier detection logic  •  Decision trees for DRG analysis  •  Model performance benchmarks  •  CMS data interpretation</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1. DRG System Fundamentals</w:t>
      </w:r>
    </w:p>
    <w:p>
      <w:pPr>
        <w:pStyle w:val="Heading2"/>
        <w:spacing w:before="300" w:after="140"/>
      </w:pPr>
      <w:r>
        <w:rPr>
          <w:rFonts w:ascii="Arial" w:cs="Arial" w:eastAsia="Arial" w:hAnsi="Arial"/>
          <w:b/>
          <w:bCs/>
          <w:color w:val="0F6E56"/>
          <w:sz w:val="28"/>
          <w:szCs w:val="28"/>
        </w:rPr>
        <w:t xml:space="preserve">1.1 What is a DRG?</w:t>
      </w:r>
    </w:p>
    <w:p>
      <w:pPr>
        <w:spacing w:after="140"/>
      </w:pPr>
      <w:r>
        <w:rPr>
          <w:rFonts w:ascii="Arial" w:cs="Arial" w:eastAsia="Arial" w:hAnsi="Arial"/>
          <w:color w:val="222222"/>
          <w:sz w:val="22"/>
          <w:szCs w:val="22"/>
        </w:rPr>
        <w:t xml:space="preserve">A Diagnosis-Related Group (DRG) is a patient classification system that groups hospital inpatient stays into clinically coherent categories based on principal diagnosis, secondary diagnoses, procedures performed, age, sex, and discharge status. Each DRG carries a predetermined Medicare payment regardless of actual costs incurred.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Key Insight</w:t>
            </w:r>
          </w:p>
          <w:p>
            <w:pPr>
              <w:spacing w:after="0"/>
            </w:pPr>
            <w:r>
              <w:rPr>
                <w:rFonts w:ascii="Arial" w:cs="Arial" w:eastAsia="Arial" w:hAnsi="Arial"/>
                <w:color w:val="333333"/>
                <w:sz w:val="21"/>
                <w:szCs w:val="21"/>
              </w:rPr>
              <w:t xml:space="preserve">Medicare pays a flat rate per DRG — not per service. Hospitals profit when costs fall below the DRG rate and absorb losses when costs exceed it. This creates strong incentives for efficiency and accurate documentation.</w:t>
            </w:r>
          </w:p>
        </w:tc>
      </w:tr>
    </w:tbl>
    <w:p>
      <w:pPr>
        <w:pStyle w:val="Heading2"/>
        <w:spacing w:before="300" w:after="140"/>
      </w:pPr>
      <w:r>
        <w:rPr>
          <w:rFonts w:ascii="Arial" w:cs="Arial" w:eastAsia="Arial" w:hAnsi="Arial"/>
          <w:b/>
          <w:bCs/>
          <w:color w:val="0F6E56"/>
          <w:sz w:val="28"/>
          <w:szCs w:val="28"/>
        </w:rPr>
        <w:t xml:space="preserve">1.2 DRG Assignment Logic</w:t>
      </w:r>
    </w:p>
    <w:p>
      <w:pPr>
        <w:spacing w:after="140"/>
      </w:pPr>
      <w:r>
        <w:rPr>
          <w:rFonts w:ascii="Arial" w:cs="Arial" w:eastAsia="Arial" w:hAnsi="Arial"/>
          <w:color w:val="222222"/>
          <w:sz w:val="22"/>
          <w:szCs w:val="22"/>
        </w:rPr>
        <w:t xml:space="preserve">Every inpatient admission follows the same routing:</w:t>
      </w:r>
    </w:p>
    <w:p>
      <w:pPr>
        <w:pStyle w:val="ListParagraph"/>
        <w:numPr>
          <w:ilvl w:val="0"/>
          <w:numId w:val="2"/>
        </w:numPr>
        <w:spacing w:after="80"/>
      </w:pPr>
      <w:r>
        <w:rPr>
          <w:rFonts w:ascii="Arial" w:cs="Arial" w:eastAsia="Arial" w:hAnsi="Arial"/>
          <w:color w:val="222222"/>
          <w:sz w:val="22"/>
          <w:szCs w:val="22"/>
        </w:rPr>
        <w:t xml:space="preserve">Principal diagnosis → Major Diagnostic Category (MDC) — 25 body-system groups</w:t>
      </w:r>
    </w:p>
    <w:p>
      <w:pPr>
        <w:pStyle w:val="ListParagraph"/>
        <w:numPr>
          <w:ilvl w:val="0"/>
          <w:numId w:val="2"/>
        </w:numPr>
        <w:spacing w:after="80"/>
      </w:pPr>
      <w:r>
        <w:rPr>
          <w:rFonts w:ascii="Arial" w:cs="Arial" w:eastAsia="Arial" w:hAnsi="Arial"/>
          <w:color w:val="222222"/>
          <w:sz w:val="22"/>
          <w:szCs w:val="22"/>
        </w:rPr>
        <w:t xml:space="preserve">Procedures + age → DRG selection within that MDC</w:t>
      </w:r>
    </w:p>
    <w:p>
      <w:pPr>
        <w:pStyle w:val="ListParagraph"/>
        <w:numPr>
          <w:ilvl w:val="0"/>
          <w:numId w:val="2"/>
        </w:numPr>
        <w:spacing w:after="80"/>
      </w:pPr>
      <w:r>
        <w:rPr>
          <w:rFonts w:ascii="Arial" w:cs="Arial" w:eastAsia="Arial" w:hAnsi="Arial"/>
          <w:color w:val="222222"/>
          <w:sz w:val="22"/>
          <w:szCs w:val="22"/>
        </w:rPr>
        <w:t xml:space="preserve">Secondary diagnoses → CC/MCC tier splits the DRG into 2–3 payment levels</w:t>
      </w:r>
    </w:p>
    <w:p>
      <w:pPr>
        <w:pStyle w:val="ListParagraph"/>
        <w:numPr>
          <w:ilvl w:val="0"/>
          <w:numId w:val="2"/>
        </w:numPr>
        <w:spacing w:after="80"/>
      </w:pPr>
      <w:r>
        <w:rPr>
          <w:rFonts w:ascii="Arial" w:cs="Arial" w:eastAsia="Arial" w:hAnsi="Arial"/>
          <w:color w:val="222222"/>
          <w:sz w:val="22"/>
          <w:szCs w:val="22"/>
        </w:rPr>
        <w:t xml:space="preserve">Result: one of ~750 MS-DRGs, each with its own relative weight</w:t>
      </w:r>
    </w:p>
    <w:p>
      <w:pPr>
        <w:spacing w:after="160"/>
      </w:pPr>
      <w:r>
        <w:t xml:space="preserve"/>
      </w:r>
    </w:p>
    <w:p>
      <w:pPr>
        <w:pStyle w:val="Heading2"/>
        <w:spacing w:before="300" w:after="140"/>
      </w:pPr>
      <w:r>
        <w:rPr>
          <w:rFonts w:ascii="Arial" w:cs="Arial" w:eastAsia="Arial" w:hAnsi="Arial"/>
          <w:b/>
          <w:bCs/>
          <w:color w:val="0F6E56"/>
          <w:sz w:val="28"/>
          <w:szCs w:val="28"/>
        </w:rPr>
        <w:t xml:space="preserve">1.3 MS-DRG vs APR-DRG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MS-DRG (Medicare)</w:t>
            </w:r>
          </w:p>
        </w:tc>
        <w:tc>
          <w:tcPr>
            <w:tcW w:type="dxa" w:w="33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APR-DRG (All Payers)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Used by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CMS / Medicare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Medicaid, commercial, hospital benchmarking</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CC/MCC tiers</w:t>
            </w:r>
          </w:p>
        </w:tc>
        <w:tc>
          <w:tcPr>
            <w:tcW w:type="dxa" w:w="33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3 tiers (MCC, CC, none)</w:t>
            </w:r>
          </w:p>
        </w:tc>
        <w:tc>
          <w:tcPr>
            <w:tcW w:type="dxa" w:w="33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4 SOI levels + 4 ROM levels = 16 sub-tiers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basis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Fixed federal formula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Payer-negotiated rates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Best for</w:t>
            </w:r>
          </w:p>
        </w:tc>
        <w:tc>
          <w:tcPr>
            <w:tcW w:type="dxa" w:w="33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Medicare claims analysis</w:t>
            </w:r>
          </w:p>
        </w:tc>
        <w:tc>
          <w:tcPr>
            <w:tcW w:type="dxa" w:w="33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Multi-payer or severity research</w:t>
            </w:r>
          </w:p>
        </w:tc>
      </w:tr>
    </w:tbl>
    <w:p>
      <w:pPr>
        <w:spacing w:after="200"/>
      </w:pPr>
      <w:r>
        <w:t xml:space="preserve"/>
      </w:r>
    </w:p>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2. CMS Data Fields — Definitions &amp; Interpretation</w:t>
      </w:r>
    </w:p>
    <w:p>
      <w:pPr>
        <w:pStyle w:val="Heading2"/>
        <w:spacing w:before="300" w:after="140"/>
      </w:pPr>
      <w:r>
        <w:rPr>
          <w:rFonts w:ascii="Arial" w:cs="Arial" w:eastAsia="Arial" w:hAnsi="Arial"/>
          <w:b/>
          <w:bCs/>
          <w:color w:val="0F6E56"/>
          <w:sz w:val="28"/>
          <w:szCs w:val="28"/>
        </w:rPr>
        <w:t xml:space="preserve">2.1 The Three Money Columns</w:t>
      </w:r>
    </w:p>
    <w:p>
      <w:pPr>
        <w:spacing w:after="140"/>
      </w:pPr>
      <w:r>
        <w:rPr>
          <w:rFonts w:ascii="Arial" w:cs="Arial" w:eastAsia="Arial" w:hAnsi="Arial"/>
          <w:color w:val="222222"/>
          <w:sz w:val="22"/>
          <w:szCs w:val="22"/>
        </w:rPr>
        <w:t xml:space="preserve">Understanding why these three numbers differ is the foundation of DRG 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260"/>
      </w:tblGrid>
      <w:tr>
        <w:tc>
          <w:tcPr>
            <w:tcW w:type="dxa" w:w="2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43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means</w:t>
            </w:r>
          </w:p>
        </w:tc>
        <w:tc>
          <w:tcPr>
            <w:tcW w:type="dxa" w:w="22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Typical relationship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Avg_Submtd_Cvrd_Chrg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Hospital's chargemaster 'sticker price'. Set strategically high to anchor private insurer negotiations. Medicare ignores it.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Highest of the three</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Avg_Tot_Pymt_Amt</w:t>
            </w:r>
          </w:p>
        </w:tc>
        <w:tc>
          <w:tcPr>
            <w:tcW w:type="dxa" w:w="43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All money actually paid: Medicare share + patient copay/deductible + third-party coordination of benefits.</w:t>
            </w:r>
          </w:p>
        </w:tc>
        <w:tc>
          <w:tcPr>
            <w:tcW w:type="dxa" w:w="22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Middle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Avg_Mdcr_Pymt_Amt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Medicare's direct payment only. Excludes patient copay and deductible. Equals total minus patient/other share.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Lowest of the three</w:t>
            </w:r>
          </w:p>
        </w:tc>
      </w:tr>
    </w:tbl>
    <w:p>
      <w:pPr>
        <w:spacing w:after="160"/>
      </w:pPr>
      <w:r>
        <w:t xml:space="preserve"/>
      </w:r>
    </w:p>
    <w:p>
      <w:pPr>
        <w:pStyle w:val="Heading2"/>
        <w:spacing w:before="300" w:after="140"/>
      </w:pPr>
      <w:r>
        <w:rPr>
          <w:rFonts w:ascii="Arial" w:cs="Arial" w:eastAsia="Arial" w:hAnsi="Arial"/>
          <w:b/>
          <w:bCs/>
          <w:color w:val="0F6E56"/>
          <w:sz w:val="28"/>
          <w:szCs w:val="28"/>
        </w:rPr>
        <w:t xml:space="preserve">2.2 Key Derived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Formula</w:t>
            </w:r>
          </w:p>
        </w:tc>
        <w:tc>
          <w:tcPr>
            <w:tcW w:type="dxa" w:w="35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Charge-to-Medicare 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Charges ÷ Medicare payment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3.5× flags high chargemaster inflation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Medicare coverage %</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Medicare pay ÷ Charges × 100</w:t>
            </w:r>
          </w:p>
        </w:tc>
        <w:tc>
          <w:tcPr>
            <w:tcW w:type="dxa" w:w="3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30% = low efficiency / pricing concern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Patient/other share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payment − Medicare payment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Copay + deductible + third-party</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Contractual adjustment</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Charges − Total payment</w:t>
            </w:r>
          </w:p>
        </w:tc>
        <w:tc>
          <w:tcPr>
            <w:tcW w:type="dxa" w:w="3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Amount written off by the hospital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Peer Z-score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(DRG ratio − MDC mean ratio) ÷ MDC std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2.0 = peer-group outlier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0E8"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Decision Rule</w:t>
            </w:r>
          </w:p>
          <w:p>
            <w:pPr>
              <w:spacing w:after="0"/>
            </w:pPr>
            <w:r>
              <w:rPr>
                <w:rFonts w:ascii="Arial" w:cs="Arial" w:eastAsia="Arial" w:hAnsi="Arial"/>
                <w:color w:val="333333"/>
                <w:sz w:val="21"/>
                <w:szCs w:val="21"/>
              </w:rPr>
              <w:t xml:space="preserve">Use Avg_Tot_Pymt_Amt as your primary target variable for cost prediction models. Use Avg_Mdcr_Pymt_Amt for Medicare reimbursement modelling specifically. Avg_Submtd_Cvrd_Chrg is useful as a feature but is a noisy proxy for actual cost.</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3. Medicare Payment Formula</w:t>
      </w:r>
    </w:p>
    <w:p>
      <w:pPr>
        <w:pStyle w:val="Heading2"/>
        <w:spacing w:before="300" w:after="140"/>
      </w:pPr>
      <w:r>
        <w:rPr>
          <w:rFonts w:ascii="Arial" w:cs="Arial" w:eastAsia="Arial" w:hAnsi="Arial"/>
          <w:b/>
          <w:bCs/>
          <w:color w:val="0F6E56"/>
          <w:sz w:val="28"/>
          <w:szCs w:val="28"/>
        </w:rPr>
        <w:t xml:space="preserve">3.1 IPPS Payment Equation</w:t>
      </w:r>
    </w:p>
    <w:p>
      <w:pPr>
        <w:spacing w:after="140"/>
      </w:pPr>
      <w:r>
        <w:rPr>
          <w:rFonts w:ascii="Arial" w:cs="Arial" w:eastAsia="Arial" w:hAnsi="Arial"/>
          <w:color w:val="222222"/>
          <w:sz w:val="22"/>
          <w:szCs w:val="22"/>
        </w:rPr>
        <w:t xml:space="preserve">The Inpatient Prospective Payment System formula determines Medicare's payment before the patient arrives. It cannot be negotiated on a case-by-case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2"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Formula</w:t>
            </w:r>
          </w:p>
          <w:p>
            <w:pPr>
              <w:spacing w:after="0"/>
            </w:pPr>
            <w:r>
              <w:rPr>
                <w:rFonts w:ascii="Arial" w:cs="Arial" w:eastAsia="Arial" w:hAnsi="Arial"/>
                <w:color w:val="333333"/>
                <w:sz w:val="21"/>
                <w:szCs w:val="21"/>
              </w:rPr>
              <w:t xml:space="preserve">Payment = (Labor base rate × Wage index + Non-labor base rate) × DRG weight + IME add-on + DSH add-on + Capital add-on + Outlier payment − Quality penalties</w:t>
            </w:r>
          </w:p>
        </w:tc>
      </w:tr>
    </w:tbl>
    <w:p>
      <w:pPr>
        <w:pStyle w:val="Heading2"/>
        <w:spacing w:before="300" w:after="140"/>
      </w:pPr>
      <w:r>
        <w:rPr>
          <w:rFonts w:ascii="Arial" w:cs="Arial" w:eastAsia="Arial" w:hAnsi="Arial"/>
          <w:b/>
          <w:bCs/>
          <w:color w:val="0F6E56"/>
          <w:sz w:val="28"/>
          <w:szCs w:val="28"/>
        </w:rPr>
        <w:t xml:space="preserve">3.2 Formula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2024 Approximate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National base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Starting payment before adjustments. Published annually in IPPS Final Rule.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~$6,500–$7,000</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Labor portion (~68%)</w:t>
            </w:r>
          </w:p>
        </w:tc>
        <w:tc>
          <w:tcPr>
            <w:tcW w:type="dxa" w:w="4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Adjusted by local wage index. Varies significantly by geography.</w:t>
            </w:r>
          </w:p>
        </w:tc>
        <w:tc>
          <w:tcPr>
            <w:tcW w:type="dxa" w:w="2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~$4,500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Non-labor portion (~32%)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Fixed nationally. Covers supplies and equipment.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Wage index (CBSA)</w:t>
            </w:r>
          </w:p>
        </w:tc>
        <w:tc>
          <w:tcPr>
            <w:tcW w:type="dxa" w:w="4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Reflects local labour market costs vs national average.</w:t>
            </w:r>
          </w:p>
        </w:tc>
        <w:tc>
          <w:tcPr>
            <w:tcW w:type="dxa" w:w="2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0.7 (rural) – 1.5 (NYC)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DRG relative weight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Resource intensity vs average case (weight 1.0). Recalibrated annually.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 (simple) – 17 (transplant)</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IME add-on</w:t>
            </w:r>
          </w:p>
        </w:tc>
        <w:tc>
          <w:tcPr>
            <w:tcW w:type="dxa" w:w="4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Teaching hospital supplement based on resident-to-bed ratio.</w:t>
            </w:r>
          </w:p>
        </w:tc>
        <w:tc>
          <w:tcPr>
            <w:tcW w:type="dxa" w:w="2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Typically 5–15% add-on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DSH add-on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Disproportionate share for hospitals serving many low-income patients.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Typically 3–10% add-on</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Outlier payment</w:t>
            </w:r>
          </w:p>
        </w:tc>
        <w:tc>
          <w:tcPr>
            <w:tcW w:type="dxa" w:w="4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80% of costs above fixed threshold for extremely expensive cases.</w:t>
            </w:r>
          </w:p>
        </w:tc>
        <w:tc>
          <w:tcPr>
            <w:tcW w:type="dxa" w:w="2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~$30k threshold</w:t>
            </w:r>
          </w:p>
        </w:tc>
      </w:tr>
    </w:tbl>
    <w:p>
      <w:pPr>
        <w:spacing w:after="200"/>
      </w:pPr>
      <w:r>
        <w:t xml:space="preserve"/>
      </w:r>
    </w:p>
    <w:p>
      <w:pPr>
        <w:pStyle w:val="Heading2"/>
        <w:spacing w:before="300" w:after="140"/>
      </w:pPr>
      <w:r>
        <w:rPr>
          <w:rFonts w:ascii="Arial" w:cs="Arial" w:eastAsia="Arial" w:hAnsi="Arial"/>
          <w:b/>
          <w:bCs/>
          <w:color w:val="0F6E56"/>
          <w:sz w:val="28"/>
          <w:szCs w:val="28"/>
        </w:rPr>
        <w:t xml:space="preserve">3.3 Quality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Program</w:t>
            </w:r>
          </w:p>
        </w:tc>
        <w:tc>
          <w:tcPr>
            <w:tcW w:type="dxa" w:w="2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Penalty</w:t>
            </w:r>
          </w:p>
        </w:tc>
        <w:tc>
          <w:tcPr>
            <w:tcW w:type="dxa" w:w="37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Trigger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HRRP (Readmissions)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 to −3% on all Medicare admissions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Excess 30-day readmission rate vs national average for 6 conditions</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HAC Reduction</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−1% on all Medicare admissions</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Bottom quartile on hospital-acquired condition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VBP (Value-Based)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redistributed by quality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 experience, safety, clinical outcomes composite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D5"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Analyst Note</w:t>
            </w:r>
          </w:p>
          <w:p>
            <w:pPr>
              <w:spacing w:after="0"/>
            </w:pPr>
            <w:r>
              <w:rPr>
                <w:rFonts w:ascii="Arial" w:cs="Arial" w:eastAsia="Arial" w:hAnsi="Arial"/>
                <w:color w:val="333333"/>
                <w:sz w:val="21"/>
                <w:szCs w:val="21"/>
              </w:rPr>
              <w:t xml:space="preserve">Quality penalties apply to ALL Medicare DRG payments — not just the flagged condition. A single poor readmission score for heart failure reduces payment for every Medicare admission that year. This makes HRRP and HAC flags high-priority targets for intervention.</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4. Comorbidity Metrics</w:t>
      </w:r>
    </w:p>
    <w:p>
      <w:pPr>
        <w:pStyle w:val="Heading2"/>
        <w:spacing w:before="300" w:after="140"/>
      </w:pPr>
      <w:r>
        <w:rPr>
          <w:rFonts w:ascii="Arial" w:cs="Arial" w:eastAsia="Arial" w:hAnsi="Arial"/>
          <w:b/>
          <w:bCs/>
          <w:color w:val="0F6E56"/>
          <w:sz w:val="28"/>
          <w:szCs w:val="28"/>
        </w:rPr>
        <w:t xml:space="preserve">4.1 Charlson Comorbidity Index (CCI)</w:t>
      </w:r>
    </w:p>
    <w:p>
      <w:pPr>
        <w:spacing w:after="140"/>
      </w:pPr>
      <w:r>
        <w:rPr>
          <w:rFonts w:ascii="Arial" w:cs="Arial" w:eastAsia="Arial" w:hAnsi="Arial"/>
          <w:color w:val="222222"/>
          <w:sz w:val="22"/>
          <w:szCs w:val="22"/>
        </w:rPr>
        <w:t xml:space="preserve">The CCI assigns weighted scores to 17 conditions based on their associated 1-year mortality risk. Developed in 1987; updated by Deyo, Quan, and others for ICD-10.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w:t>
            </w:r>
          </w:p>
        </w:tc>
        <w:tc>
          <w:tcPr>
            <w:tcW w:type="dxa" w:w="75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point each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Myocardial infarction, CHF, peripheral vascular disease, dementia, CVD, COPD, peptic ulcer, mild liver disease, diabetes without complications</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2 points each</w:t>
            </w:r>
          </w:p>
        </w:tc>
        <w:tc>
          <w:tcPr>
            <w:tcW w:type="dxa" w:w="7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Hemiplegia, moderate/severe renal disease, diabetes with end-organ damage, any tumour, leukaemia, lymphoma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points each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Moderate/severe liver disease</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6 points each</w:t>
            </w:r>
          </w:p>
        </w:tc>
        <w:tc>
          <w:tcPr>
            <w:tcW w:type="dxa" w:w="7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Metastatic solid tumour, AIDS/HIV</w:t>
            </w:r>
          </w:p>
        </w:tc>
      </w:tr>
    </w:tbl>
    <w:p>
      <w:pPr>
        <w:spacing w:after="160"/>
      </w:pPr>
      <w:r>
        <w:t xml:space="preserve"/>
      </w:r>
    </w:p>
    <w:p>
      <w:pPr>
        <w:spacing w:after="140"/>
      </w:pPr>
      <w:r>
        <w:rPr>
          <w:rFonts w:ascii="Arial" w:cs="Arial" w:eastAsia="Arial" w:hAnsi="Arial"/>
          <w:color w:val="222222"/>
          <w:sz w:val="22"/>
          <w:szCs w:val="22"/>
        </w:rPr>
        <w:t xml:space="preserve">CCI Score interpretation:</w:t>
      </w:r>
    </w:p>
    <w:p>
      <w:pPr>
        <w:pStyle w:val="ListParagraph"/>
        <w:numPr>
          <w:ilvl w:val="0"/>
          <w:numId w:val="2"/>
        </w:numPr>
        <w:spacing w:after="80"/>
      </w:pPr>
      <w:r>
        <w:rPr>
          <w:rFonts w:ascii="Arial" w:cs="Arial" w:eastAsia="Arial" w:hAnsi="Arial"/>
          <w:color w:val="222222"/>
          <w:sz w:val="22"/>
          <w:szCs w:val="22"/>
        </w:rPr>
        <w:t xml:space="preserve">0 — No comorbidities. Expected 1-year mortality ~12%</w:t>
      </w:r>
    </w:p>
    <w:p>
      <w:pPr>
        <w:pStyle w:val="ListParagraph"/>
        <w:numPr>
          <w:ilvl w:val="0"/>
          <w:numId w:val="2"/>
        </w:numPr>
        <w:spacing w:after="80"/>
      </w:pPr>
      <w:r>
        <w:rPr>
          <w:rFonts w:ascii="Arial" w:cs="Arial" w:eastAsia="Arial" w:hAnsi="Arial"/>
          <w:color w:val="222222"/>
          <w:sz w:val="22"/>
          <w:szCs w:val="22"/>
        </w:rPr>
        <w:t xml:space="preserve">1–2 — Mild. Expected 1-year mortality ~26%</w:t>
      </w:r>
    </w:p>
    <w:p>
      <w:pPr>
        <w:pStyle w:val="ListParagraph"/>
        <w:numPr>
          <w:ilvl w:val="0"/>
          <w:numId w:val="2"/>
        </w:numPr>
        <w:spacing w:after="80"/>
      </w:pPr>
      <w:r>
        <w:rPr>
          <w:rFonts w:ascii="Arial" w:cs="Arial" w:eastAsia="Arial" w:hAnsi="Arial"/>
          <w:color w:val="222222"/>
          <w:sz w:val="22"/>
          <w:szCs w:val="22"/>
        </w:rPr>
        <w:t xml:space="preserve">3–4 — Moderate. Expected 1-year mortality ~52%</w:t>
      </w:r>
    </w:p>
    <w:p>
      <w:pPr>
        <w:pStyle w:val="ListParagraph"/>
        <w:numPr>
          <w:ilvl w:val="0"/>
          <w:numId w:val="2"/>
        </w:numPr>
        <w:spacing w:after="80"/>
      </w:pPr>
      <w:r>
        <w:rPr>
          <w:rFonts w:ascii="Arial" w:cs="Arial" w:eastAsia="Arial" w:hAnsi="Arial"/>
          <w:color w:val="222222"/>
          <w:sz w:val="22"/>
          <w:szCs w:val="22"/>
        </w:rPr>
        <w:t xml:space="preserve">≥ 5 — Severe. Expected 1-year mortality ~85%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When to use CCI</w:t>
            </w:r>
          </w:p>
          <w:p>
            <w:pPr>
              <w:spacing w:after="0"/>
            </w:pPr>
            <w:r>
              <w:rPr>
                <w:rFonts w:ascii="Arial" w:cs="Arial" w:eastAsia="Arial" w:hAnsi="Arial"/>
                <w:color w:val="333333"/>
                <w:sz w:val="21"/>
                <w:szCs w:val="21"/>
              </w:rPr>
              <w:t xml:space="preserve">Research, benchmarking, and risk adjustment across institutions. CCI answers 'are the patients being compared equally sick?' It does not directly affect DRG payment but is essential for validating cost and readmission models.</w:t>
            </w:r>
          </w:p>
        </w:tc>
      </w:tr>
    </w:tbl>
    <w:p>
      <w:pPr>
        <w:pStyle w:val="Heading2"/>
        <w:spacing w:before="300" w:after="140"/>
      </w:pPr>
      <w:r>
        <w:rPr>
          <w:rFonts w:ascii="Arial" w:cs="Arial" w:eastAsia="Arial" w:hAnsi="Arial"/>
          <w:b/>
          <w:bCs/>
          <w:color w:val="0F6E56"/>
          <w:sz w:val="28"/>
          <w:szCs w:val="28"/>
        </w:rPr>
        <w:t xml:space="preserve">4.2 Elixhauser Comorbidity Index</w:t>
      </w:r>
    </w:p>
    <w:p>
      <w:pPr>
        <w:spacing w:after="140"/>
      </w:pPr>
      <w:r>
        <w:rPr>
          <w:rFonts w:ascii="Arial" w:cs="Arial" w:eastAsia="Arial" w:hAnsi="Arial"/>
          <w:color w:val="222222"/>
          <w:sz w:val="22"/>
          <w:szCs w:val="22"/>
        </w:rPr>
        <w:t xml:space="preserve">Uses 31 binary comorbidity indicators treated as independent predictors rather than summed. More granular than CCI and performs better in administrative data research.</w:t>
      </w:r>
    </w:p>
    <w:p>
      <w:pPr>
        <w:pStyle w:val="ListParagraph"/>
        <w:numPr>
          <w:ilvl w:val="0"/>
          <w:numId w:val="2"/>
        </w:numPr>
        <w:spacing w:after="80"/>
      </w:pPr>
      <w:r>
        <w:rPr>
          <w:rFonts w:ascii="Arial" w:cs="Arial" w:eastAsia="Arial" w:hAnsi="Arial"/>
          <w:color w:val="222222"/>
          <w:sz w:val="22"/>
          <w:szCs w:val="22"/>
        </w:rPr>
        <w:t xml:space="preserve">Each condition is a separate variable in regression — not summed</w:t>
      </w:r>
    </w:p>
    <w:p>
      <w:pPr>
        <w:pStyle w:val="ListParagraph"/>
        <w:numPr>
          <w:ilvl w:val="0"/>
          <w:numId w:val="2"/>
        </w:numPr>
        <w:spacing w:after="80"/>
      </w:pPr>
      <w:r>
        <w:rPr>
          <w:rFonts w:ascii="Arial" w:cs="Arial" w:eastAsia="Arial" w:hAnsi="Arial"/>
          <w:color w:val="222222"/>
          <w:sz w:val="22"/>
          <w:szCs w:val="22"/>
        </w:rPr>
        <w:t xml:space="preserve">Better discrimination for outcomes beyond mortality (LOS, cost, readmission)</w:t>
      </w:r>
    </w:p>
    <w:p>
      <w:pPr>
        <w:pStyle w:val="ListParagraph"/>
        <w:numPr>
          <w:ilvl w:val="0"/>
          <w:numId w:val="2"/>
        </w:numPr>
        <w:spacing w:after="80"/>
      </w:pPr>
      <w:r>
        <w:rPr>
          <w:rFonts w:ascii="Arial" w:cs="Arial" w:eastAsia="Arial" w:hAnsi="Arial"/>
          <w:color w:val="222222"/>
          <w:sz w:val="22"/>
          <w:szCs w:val="22"/>
        </w:rPr>
        <w:t xml:space="preserve">Preferred for large claims database studies</w:t>
      </w:r>
    </w:p>
    <w:p>
      <w:pPr>
        <w:pStyle w:val="ListParagraph"/>
        <w:numPr>
          <w:ilvl w:val="0"/>
          <w:numId w:val="2"/>
        </w:numPr>
        <w:spacing w:after="80"/>
      </w:pPr>
      <w:r>
        <w:rPr>
          <w:rFonts w:ascii="Arial" w:cs="Arial" w:eastAsia="Arial" w:hAnsi="Arial"/>
          <w:color w:val="222222"/>
          <w:sz w:val="22"/>
          <w:szCs w:val="22"/>
        </w:rPr>
        <w:t xml:space="preserve">AHRQ provides ICD-10 mapping macros for SAS/R/Python</w:t>
      </w:r>
    </w:p>
    <w:p>
      <w:pPr>
        <w:spacing w:after="160"/>
      </w:pPr>
      <w:r>
        <w:t xml:space="preserve"/>
      </w:r>
    </w:p>
    <w:p>
      <w:pPr>
        <w:pStyle w:val="Heading2"/>
        <w:spacing w:before="300" w:after="140"/>
      </w:pPr>
      <w:r>
        <w:rPr>
          <w:rFonts w:ascii="Arial" w:cs="Arial" w:eastAsia="Arial" w:hAnsi="Arial"/>
          <w:b/>
          <w:bCs/>
          <w:color w:val="0F6E56"/>
          <w:sz w:val="28"/>
          <w:szCs w:val="28"/>
        </w:rPr>
        <w:t xml:space="preserve">4.3 CC / MCC — Payment Impact</w:t>
      </w:r>
    </w:p>
    <w:p>
      <w:pPr>
        <w:spacing w:after="140"/>
      </w:pPr>
      <w:r>
        <w:rPr>
          <w:rFonts w:ascii="Arial" w:cs="Arial" w:eastAsia="Arial" w:hAnsi="Arial"/>
          <w:color w:val="222222"/>
          <w:sz w:val="22"/>
          <w:szCs w:val="22"/>
        </w:rPr>
        <w:t xml:space="preserve">Unlike CCI/Elixhauser (research tools), CC/MCC classification directly affects DRG payment. Secondary diagnoses are reviewed by the grouper and assigned to a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c>
          <w:tcPr>
            <w:tcW w:type="dxa" w:w="12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Meaning</w:t>
            </w:r>
          </w:p>
        </w:tc>
        <w:tc>
          <w:tcPr>
            <w:tcW w:type="dxa" w:w="25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Payment impact</w:t>
            </w:r>
          </w:p>
        </w:tc>
        <w:tc>
          <w:tcPr>
            <w:tcW w:type="dxa" w:w="31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 conditions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MCC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Major Complication or Comorbidity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Highest payment (often 30–60% above no-CC)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Septic shock, respiratory failure, acute renal failure requiring dialysis</w:t>
            </w:r>
          </w:p>
        </w:tc>
      </w:tr>
      <w:tr>
        <w:tc>
          <w:tcPr>
            <w:tcW w:type="dxa" w:w="1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CC</w:t>
            </w:r>
          </w:p>
        </w:tc>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Complication or Comorbidity</w:t>
            </w:r>
          </w:p>
        </w:tc>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Intermediate payment (~15–30% above no-CC)</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Type 2 diabetes, hypertension, COPD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CC/MCC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significant comorbidities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Base payment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Uncomplicated post-op recovery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Coding Alert</w:t>
            </w:r>
          </w:p>
          <w:p>
            <w:pPr>
              <w:spacing w:after="0"/>
            </w:pPr>
            <w:r>
              <w:rPr>
                <w:rFonts w:ascii="Arial" w:cs="Arial" w:eastAsia="Arial" w:hAnsi="Arial"/>
                <w:color w:val="333333"/>
                <w:sz w:val="21"/>
                <w:szCs w:val="21"/>
              </w:rPr>
              <w:t xml:space="preserve">Upcoding — assigning CC/MCC codes that are not clinically documented — is the most common DRG fraud pattern audited by RAC contractors. Your anomaly model should flag hospitals with unusually high CC/MCC rates for the same DRG compared to peers.</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5. Outlier Detection — Decision Framework</w:t>
      </w:r>
    </w:p>
    <w:p>
      <w:pPr>
        <w:pStyle w:val="Heading2"/>
        <w:spacing w:before="300" w:after="140"/>
      </w:pPr>
      <w:r>
        <w:rPr>
          <w:rFonts w:ascii="Arial" w:cs="Arial" w:eastAsia="Arial" w:hAnsi="Arial"/>
          <w:b/>
          <w:bCs/>
          <w:color w:val="0F6E56"/>
          <w:sz w:val="28"/>
          <w:szCs w:val="28"/>
        </w:rPr>
        <w:t xml:space="preserve">5.1 Outlier Taxonomy</w:t>
      </w:r>
    </w:p>
    <w:p>
      <w:pPr>
        <w:spacing w:after="140"/>
      </w:pPr>
      <w:r>
        <w:rPr>
          <w:rFonts w:ascii="Arial" w:cs="Arial" w:eastAsia="Arial" w:hAnsi="Arial"/>
          <w:color w:val="222222"/>
          <w:sz w:val="22"/>
          <w:szCs w:val="22"/>
        </w:rPr>
        <w:t xml:space="preserve">Not all outliers are the same. Classify before 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Outlier type</w:t>
            </w:r>
          </w:p>
        </w:tc>
        <w:tc>
          <w:tcPr>
            <w:tcW w:type="dxa" w:w="20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Root cause</w:t>
            </w:r>
          </w:p>
        </w:tc>
        <w:tc>
          <w:tcPr>
            <w:tcW w:type="dxa" w:w="31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Structural outlier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charge-to-pay ratio is expected for this DRG type (e.g. transplants, ECMO)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Chargemaster inflation + DRG weight ceiling effect + low volume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Benchmark within DRG peer group; exclude from global fraud scoring</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Volume outlier</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Ratio skewed by very few discharges (n &lt; 10)</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Single complex case inflates average</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Apply minimum discharge threshold (≥ 11 discharges) before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Coding outlier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Hospital's CC/MCC rate for a DRG is 2+ SD above peer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Upcoding of secondary diagnoses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for clinical documentation review and RAC audit screening</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Pricing outlier</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Charges significantly above peer group for same DRG and geography</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Chargemaster strategy or data error</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Compare within CBSA + hospital type; audit chargemaster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True billing anomaly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Charges inconsistent with DRG assignment (e.g. low-weight DRG with very high charge)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Miscoded DRG, duplicate billing, or fraud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Escalate to compliance; cross-check with clinical record</w:t>
            </w:r>
          </w:p>
        </w:tc>
      </w:tr>
    </w:tbl>
    <w:p>
      <w:pPr>
        <w:spacing w:after="200"/>
      </w:pPr>
      <w:r>
        <w:t xml:space="preserve"/>
      </w:r>
    </w:p>
    <w:p>
      <w:pPr>
        <w:pStyle w:val="Heading2"/>
        <w:spacing w:before="300" w:after="140"/>
      </w:pPr>
      <w:r>
        <w:rPr>
          <w:rFonts w:ascii="Arial" w:cs="Arial" w:eastAsia="Arial" w:hAnsi="Arial"/>
          <w:b/>
          <w:bCs/>
          <w:color w:val="0F6E56"/>
          <w:sz w:val="28"/>
          <w:szCs w:val="28"/>
        </w:rPr>
        <w:t xml:space="preserve">5.2 Outlier Detection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Normal range</w:t>
            </w:r>
          </w:p>
        </w:tc>
        <w:tc>
          <w:tcPr>
            <w:tcW w:type="dxa" w:w="20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Caution</w:t>
            </w:r>
          </w:p>
        </w:tc>
        <w:tc>
          <w:tcPr>
            <w:tcW w:type="dxa" w:w="27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Flag as outlier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Charge-to-Medicare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 – 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3.5×</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Medicare coverage %</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40%</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30% – 40%</w:t>
            </w:r>
          </w:p>
        </w:tc>
        <w:tc>
          <w:tcPr>
            <w:tcW w:type="dxa" w:w="2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Peer Z-score (within MDC)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 – 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2.0</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CC/MCC rate vs peers</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Within 1 SD</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1–2 SD above</w:t>
            </w:r>
          </w:p>
        </w:tc>
        <w:tc>
          <w:tcPr>
            <w:tcW w:type="dxa" w:w="2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2 SD above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LOS vs geometric mean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1.5× GMLOS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 – 2× GMLOS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2× GMLOS (outlier payment zone)</w:t>
            </w:r>
          </w:p>
        </w:tc>
      </w:tr>
    </w:tbl>
    <w:p>
      <w:pPr>
        <w:spacing w:after="200"/>
      </w:pPr>
      <w:r>
        <w:t xml:space="preserve"/>
      </w:r>
    </w:p>
    <w:p>
      <w:pPr>
        <w:pStyle w:val="Heading2"/>
        <w:spacing w:before="300" w:after="140"/>
      </w:pPr>
      <w:r>
        <w:rPr>
          <w:rFonts w:ascii="Arial" w:cs="Arial" w:eastAsia="Arial" w:hAnsi="Arial"/>
          <w:b/>
          <w:bCs/>
          <w:color w:val="0F6E56"/>
          <w:sz w:val="28"/>
          <w:szCs w:val="28"/>
        </w:rPr>
        <w:t xml:space="preserve">5.3 Peer-Group Comparison Logic</w:t>
      </w:r>
    </w:p>
    <w:p>
      <w:pPr>
        <w:spacing w:after="140"/>
      </w:pPr>
      <w:r>
        <w:rPr>
          <w:rFonts w:ascii="Arial" w:cs="Arial" w:eastAsia="Arial" w:hAnsi="Arial"/>
          <w:color w:val="222222"/>
          <w:sz w:val="22"/>
          <w:szCs w:val="22"/>
        </w:rPr>
        <w:t xml:space="preserve">Always compare DRGs within meaningful peer groups. A liver transplant centre should be benchmarked against other liver transplant centres — not against community hospitals.</w:t>
      </w:r>
    </w:p>
    <w:p>
      <w:pPr>
        <w:pStyle w:val="ListParagraph"/>
        <w:numPr>
          <w:ilvl w:val="0"/>
          <w:numId w:val="2"/>
        </w:numPr>
        <w:spacing w:after="80"/>
      </w:pPr>
      <w:r>
        <w:rPr>
          <w:rFonts w:ascii="Arial" w:cs="Arial" w:eastAsia="Arial" w:hAnsi="Arial"/>
          <w:color w:val="222222"/>
          <w:sz w:val="22"/>
          <w:szCs w:val="22"/>
        </w:rPr>
        <w:t xml:space="preserve">Primary peer dimension: Same MS-DRG (identical clinical group)</w:t>
      </w:r>
    </w:p>
    <w:p>
      <w:pPr>
        <w:pStyle w:val="ListParagraph"/>
        <w:numPr>
          <w:ilvl w:val="0"/>
          <w:numId w:val="2"/>
        </w:numPr>
        <w:spacing w:after="80"/>
      </w:pPr>
      <w:r>
        <w:rPr>
          <w:rFonts w:ascii="Arial" w:cs="Arial" w:eastAsia="Arial" w:hAnsi="Arial"/>
          <w:color w:val="222222"/>
          <w:sz w:val="22"/>
          <w:szCs w:val="22"/>
        </w:rPr>
        <w:t xml:space="preserve">Secondary peer dimension: CBSA (same labour market / cost environment)</w:t>
      </w:r>
    </w:p>
    <w:p>
      <w:pPr>
        <w:pStyle w:val="ListParagraph"/>
        <w:numPr>
          <w:ilvl w:val="0"/>
          <w:numId w:val="2"/>
        </w:numPr>
        <w:spacing w:after="80"/>
      </w:pPr>
      <w:r>
        <w:rPr>
          <w:rFonts w:ascii="Arial" w:cs="Arial" w:eastAsia="Arial" w:hAnsi="Arial"/>
          <w:color w:val="222222"/>
          <w:sz w:val="22"/>
          <w:szCs w:val="22"/>
        </w:rPr>
        <w:t xml:space="preserve">Tertiary peer dimension: Hospital type (teaching, critical access, community)</w:t>
      </w:r>
    </w:p>
    <w:p>
      <w:pPr>
        <w:pStyle w:val="ListParagraph"/>
        <w:numPr>
          <w:ilvl w:val="0"/>
          <w:numId w:val="2"/>
        </w:numPr>
        <w:spacing w:after="80"/>
      </w:pPr>
      <w:r>
        <w:rPr>
          <w:rFonts w:ascii="Arial" w:cs="Arial" w:eastAsia="Arial" w:hAnsi="Arial"/>
          <w:color w:val="222222"/>
          <w:sz w:val="22"/>
          <w:szCs w:val="22"/>
        </w:rPr>
        <w:t xml:space="preserve">Minimum group size: ≥ 5 hospitals for meaningful Z-score calculation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0E8"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Practical Tip</w:t>
            </w:r>
          </w:p>
          <w:p>
            <w:pPr>
              <w:spacing w:after="0"/>
            </w:pPr>
            <w:r>
              <w:rPr>
                <w:rFonts w:ascii="Arial" w:cs="Arial" w:eastAsia="Arial" w:hAnsi="Arial"/>
                <w:color w:val="333333"/>
                <w:sz w:val="21"/>
                <w:szCs w:val="21"/>
              </w:rPr>
              <w:t xml:space="preserve">The CMS Provider of Services file (free download at data.cms.gov) contains hospital type, teaching status, and CBSA for every Medicare-certified provider. Join this to your DRG data on provider NPI to enable proper peer-group stratification.</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6. Model Performance Benchmarks</w:t>
      </w:r>
    </w:p>
    <w:p>
      <w:pPr>
        <w:pStyle w:val="Heading2"/>
        <w:spacing w:before="300" w:after="140"/>
      </w:pPr>
      <w:r>
        <w:rPr>
          <w:rFonts w:ascii="Arial" w:cs="Arial" w:eastAsia="Arial" w:hAnsi="Arial"/>
          <w:b/>
          <w:bCs/>
          <w:color w:val="0F6E56"/>
          <w:sz w:val="28"/>
          <w:szCs w:val="28"/>
        </w:rPr>
        <w:t xml:space="preserve">6.1 Cost Prediction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6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Acceptable</w:t>
            </w:r>
          </w:p>
        </w:tc>
        <w:tc>
          <w:tcPr>
            <w:tcW w:type="dxa" w:w="16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Good</w:t>
            </w:r>
          </w:p>
        </w:tc>
        <w:tc>
          <w:tcPr>
            <w:tcW w:type="dxa" w:w="16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Excellent</w:t>
            </w:r>
          </w:p>
        </w:tc>
        <w:tc>
          <w:tcPr>
            <w:tcW w:type="dxa" w:w="192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Your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 R²</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0.75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0.85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0.92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0.899 ✓</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Train–Test R² gap</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0.15</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0.08</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0.03</w:t>
            </w:r>
          </w:p>
        </w:tc>
        <w:tc>
          <w:tcPr>
            <w:tcW w:type="dxa" w:w="192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0.088 — watch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 RMSE (normalised)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0.170 — review</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Test MAE (normalised)</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20%</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15%</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&lt; 10%</w:t>
            </w:r>
          </w:p>
        </w:tc>
        <w:tc>
          <w:tcPr>
            <w:tcW w:type="dxa" w:w="192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0.136 — review</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D5"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Diagnosis: Mild Overfitting</w:t>
            </w:r>
          </w:p>
          <w:p>
            <w:pPr>
              <w:spacing w:after="0"/>
            </w:pPr>
            <w:r>
              <w:rPr>
                <w:rFonts w:ascii="Arial" w:cs="Arial" w:eastAsia="Arial" w:hAnsi="Arial"/>
                <w:color w:val="333333"/>
                <w:sz w:val="21"/>
                <w:szCs w:val="21"/>
              </w:rPr>
              <w:t xml:space="preserve">Train R² 0.987 vs Test R² 0.899 indicates the model has memorised some training-set patterns. Recommended fixes: reduce XGBoost max_depth (try 4–5), increase min_child_weight, add reg_lambda regularisation, or increase training data volume.</w:t>
            </w:r>
          </w:p>
        </w:tc>
      </w:tr>
    </w:tbl>
    <w:p>
      <w:pPr>
        <w:pStyle w:val="Heading2"/>
        <w:spacing w:before="300" w:after="140"/>
      </w:pPr>
      <w:r>
        <w:rPr>
          <w:rFonts w:ascii="Arial" w:cs="Arial" w:eastAsia="Arial" w:hAnsi="Arial"/>
          <w:b/>
          <w:bCs/>
          <w:color w:val="0F6E56"/>
          <w:sz w:val="28"/>
          <w:szCs w:val="28"/>
        </w:rPr>
        <w:t xml:space="preserve">6.2 Readmission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6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Acceptable</w:t>
            </w:r>
          </w:p>
        </w:tc>
        <w:tc>
          <w:tcPr>
            <w:tcW w:type="dxa" w:w="16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Good</w:t>
            </w:r>
          </w:p>
        </w:tc>
        <w:tc>
          <w:tcPr>
            <w:tcW w:type="dxa" w:w="16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Excellent</w:t>
            </w:r>
          </w:p>
        </w:tc>
        <w:tc>
          <w:tcPr>
            <w:tcW w:type="dxa" w:w="192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Your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AUC-ROC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0.65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0.72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0.80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0.780 ✓</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AUC-PR (imbalanced)</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0.25</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0.40</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0.55</w:t>
            </w:r>
          </w:p>
        </w:tc>
        <w:tc>
          <w:tcPr>
            <w:tcW w:type="dxa" w:w="192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0.466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Sensitivity (recall)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0.40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0.55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0.70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0.235 — LOW</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Specificity</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0.80</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0.90</w:t>
            </w:r>
          </w:p>
        </w:tc>
        <w:tc>
          <w:tcPr>
            <w:tcW w:type="dxa" w:w="16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0.95</w:t>
            </w:r>
          </w:p>
        </w:tc>
        <w:tc>
          <w:tcPr>
            <w:tcW w:type="dxa" w:w="192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0.962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PPV (precision)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0.40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0.65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0.587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Threshold Decision</w:t>
            </w:r>
          </w:p>
          <w:p>
            <w:pPr>
              <w:spacing w:after="0"/>
            </w:pPr>
            <w:r>
              <w:rPr>
                <w:rFonts w:ascii="Arial" w:cs="Arial" w:eastAsia="Arial" w:hAnsi="Arial"/>
                <w:color w:val="333333"/>
                <w:sz w:val="21"/>
                <w:szCs w:val="21"/>
              </w:rPr>
              <w:t xml:space="preserve">Your current threshold (0.462) optimises for precision over recall — the model rarely raises a false alarm but misses 76% of actual readmissions. If the goal is care management outreach (low cost per intervention), lower the threshold to ~0.30 to capture more true positives. If the goal is high-cost case management (expensive intervention), keep the current high-precision threshold.</w:t>
            </w:r>
          </w:p>
        </w:tc>
      </w:tr>
    </w:tbl>
    <w:p>
      <w:pPr>
        <w:pStyle w:val="Heading2"/>
        <w:spacing w:before="300" w:after="140"/>
      </w:pPr>
      <w:r>
        <w:rPr>
          <w:rFonts w:ascii="Arial" w:cs="Arial" w:eastAsia="Arial" w:hAnsi="Arial"/>
          <w:b/>
          <w:bCs/>
          <w:color w:val="0F6E56"/>
          <w:sz w:val="28"/>
          <w:szCs w:val="28"/>
        </w:rPr>
        <w:t xml:space="preserve">6.3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 (Isolation Forest)</w:t>
            </w:r>
          </w:p>
        </w:tc>
        <w:tc>
          <w:tcPr>
            <w:tcW w:type="dxa" w:w="20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Your result</w:t>
            </w:r>
          </w:p>
        </w:tc>
        <w:tc>
          <w:tcPr>
            <w:tcW w:type="dxa" w:w="21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AUC-ROC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0.498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FAIL — random</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AUC-PR</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0.15</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0.080</w:t>
            </w:r>
          </w:p>
        </w:tc>
        <w:tc>
          <w:tcPr>
            <w:tcW w:type="dxa" w:w="2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FAIL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0.086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FAIL</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Recall</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&gt; 0.10</w:t>
            </w:r>
          </w:p>
        </w:tc>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0.031</w:t>
            </w:r>
          </w:p>
        </w:tc>
        <w:tc>
          <w:tcPr>
            <w:tcW w:type="dxa" w:w="2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FAIL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AEA"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Recommended Fix</w:t>
            </w:r>
          </w:p>
          <w:p>
            <w:pPr>
              <w:spacing w:after="0"/>
            </w:pPr>
            <w:r>
              <w:rPr>
                <w:rFonts w:ascii="Arial" w:cs="Arial" w:eastAsia="Arial" w:hAnsi="Arial"/>
                <w:color w:val="333333"/>
                <w:sz w:val="21"/>
                <w:szCs w:val="21"/>
              </w:rPr>
              <w:t xml:space="preserve">Isolation Forest is underperforming because it is unsupervised and your anomaly labels may be sparse or inconsistent. Options: (1) Switch to a supervised approach if you have labeled anomalies — XGBoost with anomaly as target. (2) Use ECOD or LOF instead of Isolation Forest. (3) Revisit the contamination parameter — try 0.02–0.08 rather than the default 0.10. (4) Engineer ratio features (charge-to-pay, peer Z-score) before fitting.</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7. Decision Trees for Common DRG Analysis Questions</w:t>
      </w:r>
    </w:p>
    <w:p>
      <w:pPr>
        <w:pStyle w:val="Heading2"/>
        <w:spacing w:before="300" w:after="140"/>
      </w:pPr>
      <w:r>
        <w:rPr>
          <w:rFonts w:ascii="Arial" w:cs="Arial" w:eastAsia="Arial" w:hAnsi="Arial"/>
          <w:b/>
          <w:bCs/>
          <w:color w:val="0F6E56"/>
          <w:sz w:val="28"/>
          <w:szCs w:val="28"/>
        </w:rPr>
        <w:t xml:space="preserve">7.1 'Is this DRG an outlier?'</w:t>
      </w:r>
    </w:p>
    <w:p>
      <w:pPr>
        <w:pStyle w:val="ListParagraph"/>
        <w:numPr>
          <w:ilvl w:val="0"/>
          <w:numId w:val="2"/>
        </w:numPr>
        <w:spacing w:after="80"/>
      </w:pPr>
      <w:r>
        <w:rPr>
          <w:rFonts w:ascii="Arial" w:cs="Arial" w:eastAsia="Arial" w:hAnsi="Arial"/>
          <w:color w:val="222222"/>
          <w:sz w:val="22"/>
          <w:szCs w:val="22"/>
        </w:rPr>
        <w:t xml:space="preserve">Step 1: Check discharge volume. If n &lt; 11, treat as low-confidence — do not flag.</w:t>
      </w:r>
    </w:p>
    <w:p>
      <w:pPr>
        <w:pStyle w:val="ListParagraph"/>
        <w:numPr>
          <w:ilvl w:val="0"/>
          <w:numId w:val="2"/>
        </w:numPr>
        <w:spacing w:after="80"/>
      </w:pPr>
      <w:r>
        <w:rPr>
          <w:rFonts w:ascii="Arial" w:cs="Arial" w:eastAsia="Arial" w:hAnsi="Arial"/>
          <w:color w:val="222222"/>
          <w:sz w:val="22"/>
          <w:szCs w:val="22"/>
        </w:rPr>
        <w:t xml:space="preserve">Step 2: Compute charge-to-Medicare ratio. If &gt; 3.5×, candidate outlier.</w:t>
      </w:r>
    </w:p>
    <w:p>
      <w:pPr>
        <w:pStyle w:val="ListParagraph"/>
        <w:numPr>
          <w:ilvl w:val="0"/>
          <w:numId w:val="2"/>
        </w:numPr>
        <w:spacing w:after="80"/>
      </w:pPr>
      <w:r>
        <w:rPr>
          <w:rFonts w:ascii="Arial" w:cs="Arial" w:eastAsia="Arial" w:hAnsi="Arial"/>
          <w:color w:val="222222"/>
          <w:sz w:val="22"/>
          <w:szCs w:val="22"/>
        </w:rPr>
        <w:t xml:space="preserve">Step 3: Classify DRG type. If transplant / ECMO / LVAD / bone marrow → structural outlier. Flag but do not escalate.</w:t>
      </w:r>
    </w:p>
    <w:p>
      <w:pPr>
        <w:pStyle w:val="ListParagraph"/>
        <w:numPr>
          <w:ilvl w:val="0"/>
          <w:numId w:val="2"/>
        </w:numPr>
        <w:spacing w:after="80"/>
      </w:pPr>
      <w:r>
        <w:rPr>
          <w:rFonts w:ascii="Arial" w:cs="Arial" w:eastAsia="Arial" w:hAnsi="Arial"/>
          <w:color w:val="222222"/>
          <w:sz w:val="22"/>
          <w:szCs w:val="22"/>
        </w:rPr>
        <w:t xml:space="preserve">Step 4: Compute peer Z-score within MDC. If Z &gt; 2.0 → true peer outlier.</w:t>
      </w:r>
    </w:p>
    <w:p>
      <w:pPr>
        <w:pStyle w:val="ListParagraph"/>
        <w:numPr>
          <w:ilvl w:val="0"/>
          <w:numId w:val="2"/>
        </w:numPr>
        <w:spacing w:after="80"/>
      </w:pPr>
      <w:r>
        <w:rPr>
          <w:rFonts w:ascii="Arial" w:cs="Arial" w:eastAsia="Arial" w:hAnsi="Arial"/>
          <w:color w:val="222222"/>
          <w:sz w:val="22"/>
          <w:szCs w:val="22"/>
        </w:rPr>
        <w:t xml:space="preserve">Step 5: Check CC/MCC rate vs peers. If &gt; 2 SD above → possible upcoding.</w:t>
      </w:r>
    </w:p>
    <w:p>
      <w:pPr>
        <w:pStyle w:val="ListParagraph"/>
        <w:numPr>
          <w:ilvl w:val="0"/>
          <w:numId w:val="2"/>
        </w:numPr>
        <w:spacing w:after="80"/>
      </w:pPr>
      <w:r>
        <w:rPr>
          <w:rFonts w:ascii="Arial" w:cs="Arial" w:eastAsia="Arial" w:hAnsi="Arial"/>
          <w:color w:val="222222"/>
          <w:sz w:val="22"/>
          <w:szCs w:val="22"/>
        </w:rPr>
        <w:t xml:space="preserve">Step 6: Cross-validate with LOS. If LOS is also outlying in same direction → escalate to compliance.</w:t>
      </w:r>
    </w:p>
    <w:p>
      <w:pPr>
        <w:spacing w:after="160"/>
      </w:pPr>
      <w:r>
        <w:t xml:space="preserve"/>
      </w:r>
    </w:p>
    <w:p>
      <w:pPr>
        <w:pStyle w:val="Heading2"/>
        <w:spacing w:before="300" w:after="140"/>
      </w:pPr>
      <w:r>
        <w:rPr>
          <w:rFonts w:ascii="Arial" w:cs="Arial" w:eastAsia="Arial" w:hAnsi="Arial"/>
          <w:b/>
          <w:bCs/>
          <w:color w:val="0F6E56"/>
          <w:sz w:val="28"/>
          <w:szCs w:val="28"/>
        </w:rPr>
        <w:t xml:space="preserve">7.2 'Which model metric matters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Business question</w:t>
            </w:r>
          </w:p>
        </w:tc>
        <w:tc>
          <w:tcPr>
            <w:tcW w:type="dxa" w:w="28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Primary metric</w:t>
            </w:r>
          </w:p>
        </w:tc>
        <w:tc>
          <w:tcPr>
            <w:tcW w:type="dxa" w:w="328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Secondary metric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Predict cost for budgeting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R² (explains variance)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MAE (interpretable error in $)</w:t>
            </w:r>
          </w:p>
        </w:tc>
      </w:tr>
      <w:tr>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Flag high-risk readmissions for outreach</w:t>
            </w:r>
          </w:p>
        </w:tc>
        <w:tc>
          <w:tcPr>
            <w:tcW w:type="dxa" w:w="28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Sensitivity (catch cases)</w:t>
            </w:r>
          </w:p>
        </w:tc>
        <w:tc>
          <w:tcPr>
            <w:tcW w:type="dxa" w:w="32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AUC-PR (handles imbalance)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Select cases for expensive case management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PPV (precision)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Specificity (avoid false alarms)</w:t>
            </w:r>
          </w:p>
        </w:tc>
      </w:tr>
      <w:tr>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Detect billing anomalies / potential fraud</w:t>
            </w:r>
          </w:p>
        </w:tc>
        <w:tc>
          <w:tcPr>
            <w:tcW w:type="dxa" w:w="28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Recall (catch all anomalies)</w:t>
            </w:r>
          </w:p>
        </w:tc>
        <w:tc>
          <w:tcPr>
            <w:tcW w:type="dxa" w:w="328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Precision (limit false positives)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Benchmark provider performance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Peer Z-score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Risk-adjusted outcome rate</w:t>
            </w:r>
          </w:p>
        </w:tc>
      </w:tr>
    </w:tbl>
    <w:p>
      <w:pPr>
        <w:spacing w:after="200"/>
      </w:pPr>
      <w:r>
        <w:t xml:space="preserve"/>
      </w:r>
    </w:p>
    <w:p>
      <w:pPr>
        <w:pStyle w:val="Heading2"/>
        <w:spacing w:before="300" w:after="140"/>
      </w:pPr>
      <w:r>
        <w:rPr>
          <w:rFonts w:ascii="Arial" w:cs="Arial" w:eastAsia="Arial" w:hAnsi="Arial"/>
          <w:b/>
          <w:bCs/>
          <w:color w:val="0F6E56"/>
          <w:sz w:val="28"/>
          <w:szCs w:val="28"/>
        </w:rPr>
        <w:t xml:space="preserve">7.3 'Why does Medicare pay less than total payment?'</w:t>
      </w:r>
    </w:p>
    <w:p>
      <w:pPr>
        <w:spacing w:after="140"/>
      </w:pPr>
      <w:r>
        <w:rPr>
          <w:rFonts w:ascii="Arial" w:cs="Arial" w:eastAsia="Arial" w:hAnsi="Arial"/>
          <w:color w:val="222222"/>
          <w:sz w:val="22"/>
          <w:szCs w:val="22"/>
        </w:rPr>
        <w:t xml:space="preserve">The gap between Avg_Tot_Pymt_Amt and Avg_Mdcr_Pymt_Amt represents the patient's financial responsibility and third-party coordination. It consists of:</w:t>
      </w:r>
    </w:p>
    <w:p>
      <w:pPr>
        <w:pStyle w:val="ListParagraph"/>
        <w:numPr>
          <w:ilvl w:val="0"/>
          <w:numId w:val="2"/>
        </w:numPr>
        <w:spacing w:after="80"/>
      </w:pPr>
      <w:r>
        <w:rPr>
          <w:rFonts w:ascii="Arial" w:cs="Arial" w:eastAsia="Arial" w:hAnsi="Arial"/>
          <w:color w:val="222222"/>
          <w:sz w:val="22"/>
          <w:szCs w:val="22"/>
        </w:rPr>
        <w:t xml:space="preserve">Part A deductible: ~$1,632 per benefit period (2024) — paid by patient before Medicare contributes</w:t>
      </w:r>
    </w:p>
    <w:p>
      <w:pPr>
        <w:pStyle w:val="ListParagraph"/>
        <w:numPr>
          <w:ilvl w:val="0"/>
          <w:numId w:val="2"/>
        </w:numPr>
        <w:spacing w:after="80"/>
      </w:pPr>
      <w:r>
        <w:rPr>
          <w:rFonts w:ascii="Arial" w:cs="Arial" w:eastAsia="Arial" w:hAnsi="Arial"/>
          <w:color w:val="222222"/>
          <w:sz w:val="22"/>
          <w:szCs w:val="22"/>
        </w:rPr>
        <w:t xml:space="preserve">Coinsurance: Days 61–90 cost the patient ~$408/day; days 91+ cost ~$816/day</w:t>
      </w:r>
    </w:p>
    <w:p>
      <w:pPr>
        <w:pStyle w:val="ListParagraph"/>
        <w:numPr>
          <w:ilvl w:val="0"/>
          <w:numId w:val="2"/>
        </w:numPr>
        <w:spacing w:after="80"/>
      </w:pPr>
      <w:r>
        <w:rPr>
          <w:rFonts w:ascii="Arial" w:cs="Arial" w:eastAsia="Arial" w:hAnsi="Arial"/>
          <w:color w:val="222222"/>
          <w:sz w:val="22"/>
          <w:szCs w:val="22"/>
        </w:rPr>
        <w:t xml:space="preserve">Third-party payers: Medigap, employer retiree plans, or Medicaid may cover the patient portion</w:t>
      </w:r>
    </w:p>
    <w:p>
      <w:pPr>
        <w:pStyle w:val="ListParagraph"/>
        <w:numPr>
          <w:ilvl w:val="0"/>
          <w:numId w:val="2"/>
        </w:numPr>
        <w:spacing w:after="80"/>
      </w:pPr>
      <w:r>
        <w:rPr>
          <w:rFonts w:ascii="Arial" w:cs="Arial" w:eastAsia="Arial" w:hAnsi="Arial"/>
          <w:color w:val="222222"/>
          <w:sz w:val="22"/>
          <w:szCs w:val="22"/>
        </w:rPr>
        <w:t xml:space="preserve">Coordination of benefits: If patient has secondary insurance, it may cover the gap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2" w:val="clear"/>
            <w:tcMar>
              <w:top w:type="dxa" w:w="160"/>
              <w:left w:type="dxa" w:w="200"/>
              <w:bottom w:type="dxa" w:w="160"/>
              <w:right w:type="dxa" w:w="200"/>
            </w:tcMar>
          </w:tcPr>
          <w:p>
            <w:pPr>
              <w:spacing w:after="60"/>
            </w:pPr>
            <w:r>
              <w:rPr>
                <w:rFonts w:ascii="Arial" w:cs="Arial" w:eastAsia="Arial" w:hAnsi="Arial"/>
                <w:b/>
                <w:bCs/>
                <w:color w:val="222222"/>
                <w:sz w:val="22"/>
                <w:szCs w:val="22"/>
              </w:rPr>
              <w:t xml:space="preserve">Data Interpretation</w:t>
            </w:r>
          </w:p>
          <w:p>
            <w:pPr>
              <w:spacing w:after="0"/>
            </w:pPr>
            <w:r>
              <w:rPr>
                <w:rFonts w:ascii="Arial" w:cs="Arial" w:eastAsia="Arial" w:hAnsi="Arial"/>
                <w:color w:val="333333"/>
                <w:sz w:val="21"/>
                <w:szCs w:val="21"/>
              </w:rPr>
              <w:t xml:space="preserve">In the CMS Geography &amp; Service file, the gap (Total − Medicare) is averaged across all patients in the DRG — some had Medigap (gap = $0), some had no secondary coverage (gap = full deductible + coinsurance). The average blends these groups, so it should not be interpreted as the copay for a specific patient.</w:t>
            </w:r>
          </w:p>
        </w:tc>
      </w:tr>
    </w:tbl>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8. Feature Engineering Cheat Sheet</w:t>
      </w:r>
    </w:p>
    <w:p>
      <w:pPr>
        <w:pStyle w:val="Heading2"/>
        <w:spacing w:before="300" w:after="140"/>
      </w:pPr>
      <w:r>
        <w:rPr>
          <w:rFonts w:ascii="Arial" w:cs="Arial" w:eastAsia="Arial" w:hAnsi="Arial"/>
          <w:b/>
          <w:bCs/>
          <w:color w:val="0F6E56"/>
          <w:sz w:val="28"/>
          <w:szCs w:val="28"/>
        </w:rPr>
        <w:t xml:space="preserve">8.1 Recommended Features for Cost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Derivation</w:t>
            </w:r>
          </w:p>
        </w:tc>
        <w:tc>
          <w:tcPr>
            <w:tcW w:type="dxa" w:w="33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DRG relative weight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From CMS DRG weight table (annual)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 strongest predictor of payment</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CC/MCC tier (encoded)</w:t>
            </w:r>
          </w:p>
        </w:tc>
        <w:tc>
          <w:tcPr>
            <w:tcW w:type="dxa" w:w="3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Extract from DRG description: 'MCC'=2, 'CC'=1, else=0</w:t>
            </w:r>
          </w:p>
        </w:tc>
        <w:tc>
          <w:tcPr>
            <w:tcW w:type="dxa" w:w="3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Captures comorbidity severity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MDC group (encoded)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Keyword classification of DRG description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Captures clinical body system</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Log(discharges)</w:t>
            </w:r>
          </w:p>
        </w:tc>
        <w:tc>
          <w:tcPr>
            <w:tcW w:type="dxa" w:w="3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log(Tot_Dschrgs + 1)</w:t>
            </w:r>
          </w:p>
        </w:tc>
        <w:tc>
          <w:tcPr>
            <w:tcW w:type="dxa" w:w="3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Volume effect; stabilises skewed distribution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Charge-to-pay ratio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Charges ÷ Medicare pay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Captures hospital pricing strategy</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Peer Z-score</w:t>
            </w:r>
          </w:p>
        </w:tc>
        <w:tc>
          <w:tcPr>
            <w:tcW w:type="dxa" w:w="3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Z-score of ratio within MDC group</w:t>
            </w:r>
          </w:p>
        </w:tc>
        <w:tc>
          <w:tcPr>
            <w:tcW w:type="dxa" w:w="3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Flags DRGs unusual within clinical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Geographic region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From provider file CBSA / census region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Labour market cost proxy</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Teaching status</w:t>
            </w:r>
          </w:p>
        </w:tc>
        <w:tc>
          <w:tcPr>
            <w:tcW w:type="dxa" w:w="3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From Provider of Services file</w:t>
            </w:r>
          </w:p>
        </w:tc>
        <w:tc>
          <w:tcPr>
            <w:tcW w:type="dxa" w:w="3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IME add-on eligibility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DSH indicator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From Provider of Services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DSH add-on eligibility</w:t>
            </w:r>
          </w:p>
        </w:tc>
      </w:tr>
    </w:tbl>
    <w:p>
      <w:pPr>
        <w:spacing w:after="200"/>
      </w:pPr>
      <w:r>
        <w:t xml:space="preserve"/>
      </w:r>
    </w:p>
    <w:p>
      <w:pPr>
        <w:pStyle w:val="Heading2"/>
        <w:spacing w:before="300" w:after="140"/>
      </w:pPr>
      <w:r>
        <w:rPr>
          <w:rFonts w:ascii="Arial" w:cs="Arial" w:eastAsia="Arial" w:hAnsi="Arial"/>
          <w:b/>
          <w:bCs/>
          <w:color w:val="0F6E56"/>
          <w:sz w:val="28"/>
          <w:szCs w:val="28"/>
        </w:rPr>
        <w:t xml:space="preserve">8.2 Features to Avoid</w:t>
      </w:r>
    </w:p>
    <w:p>
      <w:pPr>
        <w:pStyle w:val="ListParagraph"/>
        <w:numPr>
          <w:ilvl w:val="0"/>
          <w:numId w:val="2"/>
        </w:numPr>
        <w:spacing w:after="80"/>
      </w:pPr>
      <w:r>
        <w:rPr>
          <w:rFonts w:ascii="Arial" w:cs="Arial" w:eastAsia="Arial" w:hAnsi="Arial"/>
          <w:color w:val="222222"/>
          <w:sz w:val="22"/>
          <w:szCs w:val="22"/>
        </w:rPr>
        <w:t xml:space="preserve">Avg_Submtd_Cvrd_Chrg as a standalone feature — it encodes hospital pricing strategy, not clinical complexity. Use the ratio instead.</w:t>
      </w:r>
    </w:p>
    <w:p>
      <w:pPr>
        <w:pStyle w:val="ListParagraph"/>
        <w:numPr>
          <w:ilvl w:val="0"/>
          <w:numId w:val="2"/>
        </w:numPr>
        <w:spacing w:after="80"/>
      </w:pPr>
      <w:r>
        <w:rPr>
          <w:rFonts w:ascii="Arial" w:cs="Arial" w:eastAsia="Arial" w:hAnsi="Arial"/>
          <w:color w:val="222222"/>
          <w:sz w:val="22"/>
          <w:szCs w:val="22"/>
        </w:rPr>
        <w:t xml:space="preserve">Raw discharge counts without log transform — highly right-skewed, will distort tree splits.</w:t>
      </w:r>
    </w:p>
    <w:p>
      <w:pPr>
        <w:pStyle w:val="ListParagraph"/>
        <w:numPr>
          <w:ilvl w:val="0"/>
          <w:numId w:val="2"/>
        </w:numPr>
        <w:spacing w:after="80"/>
      </w:pPr>
      <w:r>
        <w:rPr>
          <w:rFonts w:ascii="Arial" w:cs="Arial" w:eastAsia="Arial" w:hAnsi="Arial"/>
          <w:color w:val="222222"/>
          <w:sz w:val="22"/>
          <w:szCs w:val="22"/>
        </w:rPr>
        <w:t xml:space="preserve">DRG description as raw text without encoding — too high cardinality. Map to MDC group first.</w:t>
      </w:r>
    </w:p>
    <w:p>
      <w:pPr>
        <w:pStyle w:val="ListParagraph"/>
        <w:numPr>
          <w:ilvl w:val="0"/>
          <w:numId w:val="2"/>
        </w:numPr>
        <w:spacing w:after="80"/>
      </w:pPr>
      <w:r>
        <w:rPr>
          <w:rFonts w:ascii="Arial" w:cs="Arial" w:eastAsia="Arial" w:hAnsi="Arial"/>
          <w:color w:val="222222"/>
          <w:sz w:val="22"/>
          <w:szCs w:val="22"/>
        </w:rPr>
        <w:t xml:space="preserve">Leaking Avg_Tot_Pymt_Amt as a feature when predicting Avg_Mdcr_Pymt_Amt — direct data leakage.</w:t>
      </w:r>
    </w:p>
    <w:p>
      <w:pPr>
        <w:spacing w:after="200"/>
      </w:pPr>
      <w:r>
        <w:t xml:space="preserve"/>
      </w:r>
    </w:p>
    <w:p>
      <w:r>
        <w:br w:type="page"/>
      </w:r>
    </w:p>
    <w:p>
      <w:pPr>
        <w:pStyle w:val="Heading1"/>
        <w:pBdr>
          <w:bottom w:val="single" w:color="1A5FA8" w:sz="8" w:space="6"/>
        </w:pBdr>
        <w:spacing w:before="400" w:after="200"/>
      </w:pPr>
      <w:r>
        <w:rPr>
          <w:rFonts w:ascii="Arial" w:cs="Arial" w:eastAsia="Arial" w:hAnsi="Arial"/>
          <w:b/>
          <w:bCs/>
          <w:color w:val="1A5FA8"/>
          <w:sz w:val="36"/>
          <w:szCs w:val="36"/>
        </w:rPr>
        <w:t xml:space="preserve">9.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use in DRG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Medicare Inpatient by Geography &amp;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data.cms.gov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Charges vs payment analysis; outlier detection (this handbook)</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Medicare Inpatient by Provider &amp; Service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data.cms.gov</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Hospital-level benchmarking; cost variation by facility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HCUP National Inpatient Sample (NIS)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hcup-us.ahrq.gov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Patient-level features; LOS; comorbidity scores; readmissions (~$300 fee)</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CMS Provider of Services File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data.cms.gov (free)</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Hospital type, teaching status, CBSA, bed count — join for peer grouping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Hospital Compare / Care Compare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data.cms.gov (free)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Readmission rates, HAC rates, VBP scores by provider</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DRG Relative Weights Table</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cms.gov (IPPS Final Rule)</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Annual DRG weights, geometric mean LOS, outlier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CBSA Wage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cms.gov (IPPS Final Rule)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Geographic labour cost adjustment; essential for regional cost comparison</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Diabetes 130-US Hospitals (UCI)</w:t>
            </w:r>
          </w:p>
        </w:tc>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archive.ics.uci.edu</w:t>
            </w:r>
          </w:p>
        </w:tc>
        <w:tc>
          <w:tcPr>
            <w:tcW w:type="dxa" w:w="43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Readmission benchmark dataset; no cost agreement required</w:t>
            </w:r>
          </w:p>
        </w:tc>
      </w:tr>
    </w:tbl>
    <w:p>
      <w:pPr>
        <w:spacing w:after="200"/>
      </w:pPr>
      <w:r>
        <w:t xml:space="preserve"/>
      </w:r>
    </w:p>
    <w:p>
      <w:pPr>
        <w:pStyle w:val="Heading1"/>
        <w:pBdr>
          <w:bottom w:val="single" w:color="1A5FA8" w:sz="8" w:space="6"/>
        </w:pBdr>
        <w:spacing w:before="400" w:after="200"/>
      </w:pPr>
      <w:r>
        <w:rPr>
          <w:rFonts w:ascii="Arial" w:cs="Arial" w:eastAsia="Arial" w:hAnsi="Arial"/>
          <w:b/>
          <w:bCs/>
          <w:color w:val="1A5FA8"/>
          <w:sz w:val="36"/>
          <w:szCs w:val="36"/>
        </w:rPr>
        <w:t xml:space="preserve">10. Quick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A5F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IPPS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Inpatient Prospective Payment System — Medicare's DRG-based hospital payment framework</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MS-DRG</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Medicare Severity DRG — the specific DRG system used for Medicare inpatient payment since 2007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MDC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Major Diagnostic Category — 25 body-system groups that precede DRG assignment</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CC</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Complication or Comorbidity — a secondary diagnosis that increases payment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MCC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Major Complication or Comorbidity — a severe secondary diagnosis; highest payment tier</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SOI</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Severity of Illness — APR-DRG scale 1–4 measuring clinical 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of Mortality — APR-DRG scale 1–4 measuring expected death risk</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CCI</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Charlson Comorbidity Index — weighted 17-condition score predicting 1-year mortality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CMI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Case Mix Index — average DRG weight across all admissions; measures hospital complexity</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DRG weight</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Relative resource intensity vs national average case (weight =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Indirect Medical Education — teaching hospital payment add-on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DSH</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Disproportionate Share Hospital — add-on for hospitals serving many low-income patients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HRRP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Hospital Readmissions Reduction Program — Medicare penalty for excess readmissions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HAC</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Hospital-Acquired Condition — penalty program for preventable inpatient complications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VBP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Value-Based Purchasing — quality-linked payment redistribution program</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CBSA</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Core-Based Statistical Area — geographic unit used for wage index calculation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Recovery Audit Contractor — CMS-contracted auditors who identify and recoup improper Medicare payments</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Chargemaster</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Hospital's internal price list for all services; sets Avg_Submtd_Cvrd_Chrg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Outlier payment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Additional Medicare payment for cases where costs exceed the DRG rate by a fixed threshold</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Contractual adjustment</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Amount written off by hospital — difference between charges and actual payment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AUC-PR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 Under the Precision-Recall Curve — preferred metric for imbalanced classification (e.g. readmission)</w:t>
            </w:r>
          </w:p>
        </w:tc>
      </w:tr>
      <w:tr>
        <w:tc>
          <w:tcPr>
            <w:tcW w:type="dxa" w:w="26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Peer Z-score</w:t>
            </w:r>
          </w:p>
        </w:tc>
        <w:tc>
          <w:tcPr>
            <w:tcW w:type="dxa" w:w="6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222222"/>
                <w:sz w:val="20"/>
                <w:szCs w:val="20"/>
              </w:rPr>
              <w:t xml:space="preserve">Standard deviations from peer-group mean; used to identify outliers within clinical/geographic groups</w:t>
            </w:r>
          </w:p>
        </w:tc>
      </w:tr>
    </w:tbl>
    <w:p>
      <w:pPr>
        <w:spacing w:after="200"/>
      </w:pPr>
      <w:r>
        <w:t xml:space="preserve"/>
      </w:r>
    </w:p>
    <w:p>
      <w:pPr>
        <w:pBdr>
          <w:top w:val="single" w:color="CCCCCC" w:sz="4" w:space="8"/>
        </w:pBdr>
        <w:spacing w:before="400" w:after="0"/>
      </w:pPr>
      <w:r>
        <w:rPr>
          <w:rFonts w:ascii="Arial" w:cs="Arial" w:eastAsia="Arial" w:hAnsi="Arial"/>
          <w:i/>
          <w:iCs/>
          <w:color w:val="888888"/>
          <w:sz w:val="18"/>
          <w:szCs w:val="18"/>
        </w:rPr>
        <w:t xml:space="preserve">This handbook is intended as an analytical reference for DRG data science projects. Payment values and thresholds are approximate and should be verified against the current CMS IPPS Final Rule for any production application.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FA8"/>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2026-03-24T04:31:52.133Z</dcterms:created>
  <dcterms:modified xsi:type="dcterms:W3CDTF">2026-03-24T04:31:52.134Z</dcterms:modified>
</cp:coreProperties>
</file>

<file path=docProps/custom.xml><?xml version="1.0" encoding="utf-8"?>
<Properties xmlns="http://schemas.openxmlformats.org/officeDocument/2006/custom-properties" xmlns:vt="http://schemas.openxmlformats.org/officeDocument/2006/docPropsVTypes"/>
</file>