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98.4%</w:t>
            </w:r>
          </w:p>
        </w:tc>
        <w:tc>
          <w:tcPr>
            <w:tcW w:type="dxa" w:w="1440"/>
          </w:tcPr>
          <w:p>
            <w:r>
              <w:rPr>
                <w:sz w:val="18"/>
              </w:rPr>
            </w:r>
            <w:r>
              <w:rPr>
                <w:sz w:val="18"/>
              </w:rPr>
              <w:t>2,911</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(2,911 variants), conditional accuracy reaches 98.4%.</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between 2026-01 and 2026-07,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Not applicable.</w:t>
      </w:r>
    </w:p>
    <w:p>
      <w:pPr>
        <w:pStyle w:val="Heading1"/>
      </w:pPr>
      <w:r>
        <w:t>References</w:t>
      </w:r>
    </w:p>
    <w:p>
      <w:r>
        <w:t>AI-CURA, 2026. AI-CURA, an automated LLM workflow for high-accuracy genetic variant classification. Sci. Transl. Med.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https://openreview.net/forum?id=Pf0PaYS9KG</w:t>
      </w:r>
    </w:p>
    <w:p>
      <w:r>
        <w:t>Cheng, J., Novati, G., Pan, M., et al., 2023. Accurate proteome-wide missense variant effect prediction with AlphaMissense. Science 381, eadg7492.</w:t>
      </w:r>
    </w:p>
    <w:p>
      <w:r>
        <w:t>DeepSeek-AI, 2024. DeepSeek-V3 technical report. arXiv:2412.19437.</w:t>
      </w:r>
    </w:p>
    <w:p>
      <w:r>
        <w:t xml:space="preserve">Esposito, D., Weile, J., Shrestha, R., et al., 2019. MaveDB: an open-source platform to distribute and query data from multiplexed assays of variant effect. bioRxiv. </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