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5，全量 5,000 变异），并在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国际领先（76.5%）；Claude 以 97.0% 表态准确率配 3.9%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98.4%</w:t>
            </w:r>
          </w:p>
        </w:tc>
        <w:tc>
          <w:tcPr>
            <w:tcW w:type="dxa" w:w="1512"/>
          </w:tcPr>
          <w:p>
            <w:r>
              <w:rPr>
                <w:sz w:val="18"/>
              </w:rPr>
            </w:r>
            <w:r>
              <w:rPr>
                <w:rFonts w:ascii="Times New Roman" w:hAnsi="Times New Roman" w:eastAsia="宋体"/>
                <w:sz w:val="18"/>
              </w:rPr>
              <w:t>2,911</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比集成规模更重要；但当全体对某个明确判定一致时（2,911 个变异），条件准确率达 98.4%。</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2026-01 至 2026-07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5（推理模型不确定）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国际扩展：三个外国旗舰全量评估</w:t>
      </w:r>
    </w:p>
    <w:p>
      <w:pPr>
        <w:spacing w:line="312" w:lineRule="auto"/>
      </w:pPr>
      <w:r>
        <w:rPr>
          <w:rFonts w:ascii="Times New Roman" w:hAnsi="Times New Roman" w:eastAsia="宋体"/>
        </w:rPr>
        <w:t>为检验国内发现是否跨训练生态成立，我们在</w:t>
      </w:r>
      <w:r>
        <w:rPr>
          <w:rFonts w:ascii="Times New Roman" w:hAnsi="Times New Roman" w:eastAsia="宋体"/>
          <w:b/>
        </w:rPr>
        <w:t>完整时间盲法测试集</w:t>
      </w:r>
      <w:r>
        <w:rPr>
          <w:rFonts w:ascii="Times New Roman" w:hAnsi="Times New Roman" w:eastAsia="宋体"/>
        </w:rPr>
        <w:t>（各 5,000 变异）上评估了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sz w:val="18"/>
              </w:rPr>
            </w:r>
            <w:r>
              <w:rPr>
                <w:rFonts w:ascii="Times New Roman" w:hAnsi="Times New Roman" w:eastAsia="宋体"/>
                <w:b/>
                <w:sz w:val="18"/>
              </w:rPr>
              <w:t>模型</w:t>
            </w:r>
          </w:p>
        </w:tc>
        <w:tc>
          <w:tcPr>
            <w:tcW w:type="dxa" w:w="1296"/>
          </w:tcPr>
          <w:p>
            <w:r>
              <w:rPr>
                <w:b/>
                <w:sz w:val="18"/>
              </w:rPr>
            </w:r>
            <w:r>
              <w:rPr>
                <w:rFonts w:ascii="Times New Roman" w:hAnsi="Times New Roman" w:eastAsia="宋体"/>
                <w:b/>
                <w:sz w:val="18"/>
              </w:rPr>
              <w:t>厂商</w:t>
            </w:r>
          </w:p>
        </w:tc>
        <w:tc>
          <w:tcPr>
            <w:tcW w:type="dxa" w:w="1296"/>
          </w:tcPr>
          <w:p>
            <w:r>
              <w:rPr>
                <w:b/>
                <w:sz w:val="18"/>
              </w:rPr>
            </w:r>
            <w:r>
              <w:rPr>
                <w:rFonts w:ascii="Times New Roman" w:hAnsi="Times New Roman" w:eastAsia="宋体"/>
                <w:b/>
                <w:sz w:val="18"/>
              </w:rPr>
              <w:t>全对全</w:t>
            </w:r>
          </w:p>
        </w:tc>
        <w:tc>
          <w:tcPr>
            <w:tcW w:type="dxa" w:w="1296"/>
          </w:tcPr>
          <w:p>
            <w:r>
              <w:rPr>
                <w:b/>
                <w:sz w:val="18"/>
              </w:rPr>
            </w:r>
            <w:r>
              <w:rPr>
                <w:rFonts w:ascii="Times New Roman" w:hAnsi="Times New Roman" w:eastAsia="宋体"/>
                <w:b/>
                <w:sz w:val="18"/>
              </w:rPr>
              <w:t>条件</w:t>
            </w:r>
          </w:p>
        </w:tc>
        <w:tc>
          <w:tcPr>
            <w:tcW w:type="dxa" w:w="1296"/>
          </w:tcPr>
          <w:p>
            <w:r>
              <w:rPr>
                <w:b/>
                <w:sz w:val="18"/>
              </w:rPr>
            </w:r>
            <w:r>
              <w:rPr>
                <w:rFonts w:ascii="Times New Roman" w:hAnsi="Times New Roman" w:eastAsia="宋体"/>
                <w:b/>
                <w:sz w:val="18"/>
              </w:rPr>
              <w:t>弃权</w:t>
            </w:r>
          </w:p>
        </w:tc>
        <w:tc>
          <w:tcPr>
            <w:tcW w:type="dxa" w:w="1296"/>
          </w:tcPr>
          <w:p>
            <w:r>
              <w:rPr>
                <w:b/>
                <w:sz w:val="18"/>
              </w:rPr>
            </w:r>
            <w:r>
              <w:rPr>
                <w:rFonts w:ascii="Times New Roman" w:hAnsi="Times New Roman" w:eastAsia="宋体"/>
                <w:b/>
                <w:sz w:val="18"/>
              </w:rPr>
              <w:t>良性→致病 FP</w:t>
            </w:r>
          </w:p>
        </w:tc>
        <w:tc>
          <w:tcPr>
            <w:tcW w:type="dxa" w:w="1296"/>
          </w:tcPr>
          <w:p>
            <w:r>
              <w:rPr>
                <w:b/>
                <w:sz w:val="18"/>
              </w:rPr>
            </w:r>
            <w:r>
              <w:rPr>
                <w:rFonts w:ascii="Times New Roman" w:hAnsi="Times New Roman" w:eastAsia="宋体"/>
                <w:b/>
                <w:sz w:val="18"/>
              </w:rPr>
              <w:t>专家档</w:t>
            </w:r>
          </w:p>
        </w:tc>
      </w:tr>
      <w:tr>
        <w:tc>
          <w:tcPr>
            <w:tcW w:type="dxa" w:w="1296"/>
          </w:tcPr>
          <w:p>
            <w:r>
              <w:rPr>
                <w:sz w:val="18"/>
              </w:rPr>
            </w:r>
            <w:r>
              <w:rPr>
                <w:rFonts w:ascii="Times New Roman" w:hAnsi="Times New Roman" w:eastAsia="宋体"/>
                <w:sz w:val="18"/>
              </w:rPr>
              <w:t>Gemini 3 Flash</w:t>
            </w:r>
          </w:p>
        </w:tc>
        <w:tc>
          <w:tcPr>
            <w:tcW w:type="dxa" w:w="1296"/>
          </w:tcPr>
          <w:p>
            <w:r>
              <w:rPr>
                <w:sz w:val="18"/>
              </w:rPr>
            </w:r>
            <w:r>
              <w:rPr>
                <w:rFonts w:ascii="Times New Roman" w:hAnsi="Times New Roman" w:eastAsia="宋体"/>
                <w:sz w:val="18"/>
              </w:rPr>
              <w:t>Google</w:t>
            </w:r>
          </w:p>
        </w:tc>
        <w:tc>
          <w:tcPr>
            <w:tcW w:type="dxa" w:w="1296"/>
          </w:tcPr>
          <w:p>
            <w:r>
              <w:rPr>
                <w:sz w:val="18"/>
              </w:rPr>
            </w:r>
            <w:r>
              <w:rPr>
                <w:rFonts w:ascii="Times New Roman" w:hAnsi="Times New Roman" w:eastAsia="宋体"/>
                <w:b/>
                <w:sz w:val="18"/>
              </w:rPr>
              <w:t>76.5%</w:t>
            </w:r>
          </w:p>
        </w:tc>
        <w:tc>
          <w:tcPr>
            <w:tcW w:type="dxa" w:w="1296"/>
          </w:tcPr>
          <w:p>
            <w:r>
              <w:rPr>
                <w:sz w:val="18"/>
              </w:rPr>
            </w:r>
            <w:r>
              <w:rPr>
                <w:rFonts w:ascii="Times New Roman" w:hAnsi="Times New Roman" w:eastAsia="宋体"/>
                <w:sz w:val="18"/>
              </w:rPr>
              <w:t>84.3%</w:t>
            </w:r>
          </w:p>
        </w:tc>
        <w:tc>
          <w:tcPr>
            <w:tcW w:type="dxa" w:w="1296"/>
          </w:tcPr>
          <w:p>
            <w:r>
              <w:rPr>
                <w:sz w:val="18"/>
              </w:rPr>
            </w:r>
            <w:r>
              <w:rPr>
                <w:rFonts w:ascii="Times New Roman" w:hAnsi="Times New Roman" w:eastAsia="宋体"/>
                <w:sz w:val="18"/>
              </w:rPr>
              <w:t>9.2%</w:t>
            </w:r>
          </w:p>
        </w:tc>
        <w:tc>
          <w:tcPr>
            <w:tcW w:type="dxa" w:w="1296"/>
          </w:tcPr>
          <w:p>
            <w:r>
              <w:rPr>
                <w:sz w:val="18"/>
              </w:rPr>
            </w:r>
            <w:r>
              <w:rPr>
                <w:rFonts w:ascii="Times New Roman" w:hAnsi="Times New Roman" w:eastAsia="宋体"/>
                <w:sz w:val="18"/>
              </w:rPr>
              <w:t>27.8%</w:t>
            </w:r>
          </w:p>
        </w:tc>
        <w:tc>
          <w:tcPr>
            <w:tcW w:type="dxa" w:w="1296"/>
          </w:tcPr>
          <w:p>
            <w:r>
              <w:rPr>
                <w:sz w:val="18"/>
              </w:rPr>
            </w:r>
            <w:r>
              <w:rPr>
                <w:rFonts w:ascii="Times New Roman" w:hAnsi="Times New Roman" w:eastAsia="宋体"/>
                <w:sz w:val="18"/>
              </w:rPr>
              <w:t>91%</w:t>
            </w:r>
          </w:p>
        </w:tc>
      </w:tr>
      <w:tr>
        <w:tc>
          <w:tcPr>
            <w:tcW w:type="dxa" w:w="1296"/>
          </w:tcPr>
          <w:p>
            <w:r>
              <w:rPr>
                <w:sz w:val="18"/>
              </w:rPr>
            </w:r>
            <w:r>
              <w:rPr>
                <w:rFonts w:ascii="Times New Roman" w:hAnsi="Times New Roman" w:eastAsia="宋体"/>
                <w:sz w:val="18"/>
              </w:rPr>
              <w:t>Qwen3.7-max</w:t>
            </w:r>
          </w:p>
        </w:tc>
        <w:tc>
          <w:tcPr>
            <w:tcW w:type="dxa" w:w="1296"/>
          </w:tcPr>
          <w:p>
            <w:r>
              <w:rPr>
                <w:sz w:val="18"/>
              </w:rPr>
            </w:r>
            <w:r>
              <w:rPr>
                <w:rFonts w:ascii="Times New Roman" w:hAnsi="Times New Roman" w:eastAsia="宋体"/>
                <w:sz w:val="18"/>
              </w:rPr>
              <w:t>阿里</w:t>
            </w:r>
          </w:p>
        </w:tc>
        <w:tc>
          <w:tcPr>
            <w:tcW w:type="dxa" w:w="1296"/>
          </w:tcPr>
          <w:p>
            <w:r>
              <w:rPr>
                <w:sz w:val="18"/>
              </w:rPr>
            </w:r>
            <w:r>
              <w:rPr>
                <w:rFonts w:ascii="Times New Roman" w:hAnsi="Times New Roman" w:eastAsia="宋体"/>
                <w:sz w:val="18"/>
              </w:rPr>
              <w:t>71.6%</w:t>
            </w:r>
          </w:p>
        </w:tc>
        <w:tc>
          <w:tcPr>
            <w:tcW w:type="dxa" w:w="1296"/>
          </w:tcPr>
          <w:p>
            <w:r>
              <w:rPr>
                <w:sz w:val="18"/>
              </w:rPr>
            </w:r>
            <w:r>
              <w:rPr>
                <w:rFonts w:ascii="Times New Roman" w:hAnsi="Times New Roman" w:eastAsia="宋体"/>
                <w:sz w:val="18"/>
              </w:rPr>
              <w:t>96.4%</w:t>
            </w:r>
          </w:p>
        </w:tc>
        <w:tc>
          <w:tcPr>
            <w:tcW w:type="dxa" w:w="1296"/>
          </w:tcPr>
          <w:p>
            <w:r>
              <w:rPr>
                <w:sz w:val="18"/>
              </w:rPr>
            </w:r>
            <w:r>
              <w:rPr>
                <w:rFonts w:ascii="Times New Roman" w:hAnsi="Times New Roman" w:eastAsia="宋体"/>
                <w:sz w:val="18"/>
              </w:rPr>
              <w:t>25.7%</w:t>
            </w:r>
          </w:p>
        </w:tc>
        <w:tc>
          <w:tcPr>
            <w:tcW w:type="dxa" w:w="1296"/>
          </w:tcPr>
          <w:p>
            <w:r>
              <w:rPr>
                <w:sz w:val="18"/>
              </w:rPr>
            </w:r>
            <w:r>
              <w:rPr>
                <w:rFonts w:ascii="Times New Roman" w:hAnsi="Times New Roman" w:eastAsia="宋体"/>
                <w:sz w:val="18"/>
              </w:rPr>
              <w:t>4.7%</w:t>
            </w:r>
          </w:p>
        </w:tc>
        <w:tc>
          <w:tcPr>
            <w:tcW w:type="dxa" w:w="1296"/>
          </w:tcPr>
          <w:p>
            <w:r>
              <w:rPr>
                <w:sz w:val="18"/>
              </w:rPr>
            </w:r>
            <w:r>
              <w:rPr>
                <w:rFonts w:ascii="Times New Roman" w:hAnsi="Times New Roman" w:eastAsia="宋体"/>
                <w:sz w:val="18"/>
              </w:rPr>
              <w:t>86%</w:t>
            </w:r>
          </w:p>
        </w:tc>
      </w:tr>
      <w:tr>
        <w:tc>
          <w:tcPr>
            <w:tcW w:type="dxa" w:w="1296"/>
          </w:tcPr>
          <w:p>
            <w:r>
              <w:rPr>
                <w:sz w:val="18"/>
              </w:rPr>
            </w:r>
            <w:r>
              <w:rPr>
                <w:rFonts w:ascii="Times New Roman" w:hAnsi="Times New Roman" w:eastAsia="宋体"/>
                <w:sz w:val="18"/>
              </w:rPr>
              <w:t>Claude Sonnet 5</w:t>
            </w:r>
          </w:p>
        </w:tc>
        <w:tc>
          <w:tcPr>
            <w:tcW w:type="dxa" w:w="1296"/>
          </w:tcPr>
          <w:p>
            <w:r>
              <w:rPr>
                <w:sz w:val="18"/>
              </w:rPr>
            </w:r>
            <w:r>
              <w:rPr>
                <w:rFonts w:ascii="Times New Roman" w:hAnsi="Times New Roman" w:eastAsia="宋体"/>
                <w:sz w:val="18"/>
              </w:rPr>
              <w:t>Anthropic</w:t>
            </w:r>
          </w:p>
        </w:tc>
        <w:tc>
          <w:tcPr>
            <w:tcW w:type="dxa" w:w="1296"/>
          </w:tcPr>
          <w:p>
            <w:r>
              <w:rPr>
                <w:sz w:val="18"/>
              </w:rPr>
            </w:r>
            <w:r>
              <w:rPr>
                <w:rFonts w:ascii="Times New Roman" w:hAnsi="Times New Roman" w:eastAsia="宋体"/>
                <w:sz w:val="18"/>
              </w:rPr>
              <w:t>68.5%</w:t>
            </w:r>
          </w:p>
        </w:tc>
        <w:tc>
          <w:tcPr>
            <w:tcW w:type="dxa" w:w="1296"/>
          </w:tcPr>
          <w:p>
            <w:r>
              <w:rPr>
                <w:sz w:val="18"/>
              </w:rPr>
            </w:r>
            <w:r>
              <w:rPr>
                <w:rFonts w:ascii="Times New Roman" w:hAnsi="Times New Roman" w:eastAsia="宋体"/>
                <w:sz w:val="18"/>
              </w:rPr>
              <w:t>97.0%</w:t>
            </w:r>
          </w:p>
        </w:tc>
        <w:tc>
          <w:tcPr>
            <w:tcW w:type="dxa" w:w="1296"/>
          </w:tcPr>
          <w:p>
            <w:r>
              <w:rPr>
                <w:sz w:val="18"/>
              </w:rPr>
            </w:r>
            <w:r>
              <w:rPr>
                <w:rFonts w:ascii="Times New Roman" w:hAnsi="Times New Roman" w:eastAsia="宋体"/>
                <w:sz w:val="18"/>
              </w:rPr>
              <w:t>29.3%</w:t>
            </w:r>
          </w:p>
        </w:tc>
        <w:tc>
          <w:tcPr>
            <w:tcW w:type="dxa" w:w="1296"/>
          </w:tcPr>
          <w:p>
            <w:r>
              <w:rPr>
                <w:sz w:val="18"/>
              </w:rPr>
            </w:r>
            <w:r>
              <w:rPr>
                <w:rFonts w:ascii="Times New Roman" w:hAnsi="Times New Roman" w:eastAsia="宋体"/>
                <w:b/>
                <w:sz w:val="18"/>
              </w:rPr>
              <w:t>3.9%</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Kimi-K2.6</w:t>
            </w:r>
          </w:p>
        </w:tc>
        <w:tc>
          <w:tcPr>
            <w:tcW w:type="dxa" w:w="1296"/>
          </w:tcPr>
          <w:p>
            <w:r>
              <w:rPr>
                <w:sz w:val="18"/>
              </w:rPr>
            </w:r>
            <w:r>
              <w:rPr>
                <w:rFonts w:ascii="Times New Roman" w:hAnsi="Times New Roman" w:eastAsia="宋体"/>
                <w:sz w:val="18"/>
              </w:rPr>
              <w:t>月之暗面</w:t>
            </w:r>
          </w:p>
        </w:tc>
        <w:tc>
          <w:tcPr>
            <w:tcW w:type="dxa" w:w="1296"/>
          </w:tcPr>
          <w:p>
            <w:r>
              <w:rPr>
                <w:sz w:val="18"/>
              </w:rPr>
            </w:r>
            <w:r>
              <w:rPr>
                <w:rFonts w:ascii="Times New Roman" w:hAnsi="Times New Roman" w:eastAsia="宋体"/>
                <w:sz w:val="18"/>
              </w:rPr>
              <w:t>67.0%</w:t>
            </w:r>
          </w:p>
        </w:tc>
        <w:tc>
          <w:tcPr>
            <w:tcW w:type="dxa" w:w="1296"/>
          </w:tcPr>
          <w:p>
            <w:r>
              <w:rPr>
                <w:sz w:val="18"/>
              </w:rPr>
            </w:r>
            <w:r>
              <w:rPr>
                <w:rFonts w:ascii="Times New Roman" w:hAnsi="Times New Roman" w:eastAsia="宋体"/>
                <w:sz w:val="18"/>
              </w:rPr>
              <w:t>97.8%</w:t>
            </w:r>
          </w:p>
        </w:tc>
        <w:tc>
          <w:tcPr>
            <w:tcW w:type="dxa" w:w="1296"/>
          </w:tcPr>
          <w:p>
            <w:r>
              <w:rPr>
                <w:sz w:val="18"/>
              </w:rPr>
            </w:r>
            <w:r>
              <w:rPr>
                <w:rFonts w:ascii="Times New Roman" w:hAnsi="Times New Roman" w:eastAsia="宋体"/>
                <w:sz w:val="18"/>
              </w:rPr>
              <w:t>31.6%</w:t>
            </w:r>
          </w:p>
        </w:tc>
        <w:tc>
          <w:tcPr>
            <w:tcW w:type="dxa" w:w="1296"/>
          </w:tcPr>
          <w:p>
            <w:r>
              <w:rPr>
                <w:sz w:val="18"/>
              </w:rPr>
            </w:r>
            <w:r>
              <w:rPr>
                <w:rFonts w:ascii="Times New Roman" w:hAnsi="Times New Roman" w:eastAsia="宋体"/>
                <w:sz w:val="18"/>
              </w:rPr>
              <w:t>2.5%</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MiMo V2.5 Pro</w:t>
            </w:r>
          </w:p>
        </w:tc>
        <w:tc>
          <w:tcPr>
            <w:tcW w:type="dxa" w:w="1296"/>
          </w:tcPr>
          <w:p>
            <w:r>
              <w:rPr>
                <w:sz w:val="18"/>
              </w:rPr>
            </w:r>
            <w:r>
              <w:rPr>
                <w:rFonts w:ascii="Times New Roman" w:hAnsi="Times New Roman" w:eastAsia="宋体"/>
                <w:sz w:val="18"/>
              </w:rPr>
              <w:t>小米</w:t>
            </w:r>
          </w:p>
        </w:tc>
        <w:tc>
          <w:tcPr>
            <w:tcW w:type="dxa" w:w="1296"/>
          </w:tcPr>
          <w:p>
            <w:r>
              <w:rPr>
                <w:sz w:val="18"/>
              </w:rPr>
            </w:r>
            <w:r>
              <w:rPr>
                <w:rFonts w:ascii="Times New Roman" w:hAnsi="Times New Roman" w:eastAsia="宋体"/>
                <w:sz w:val="18"/>
              </w:rPr>
              <w:t>66.1%</w:t>
            </w:r>
          </w:p>
        </w:tc>
        <w:tc>
          <w:tcPr>
            <w:tcW w:type="dxa" w:w="1296"/>
          </w:tcPr>
          <w:p>
            <w:r>
              <w:rPr>
                <w:sz w:val="18"/>
              </w:rPr>
            </w:r>
            <w:r>
              <w:rPr>
                <w:rFonts w:ascii="Times New Roman" w:hAnsi="Times New Roman" w:eastAsia="宋体"/>
                <w:sz w:val="18"/>
              </w:rPr>
              <w:t>85.2%</w:t>
            </w:r>
          </w:p>
        </w:tc>
        <w:tc>
          <w:tcPr>
            <w:tcW w:type="dxa" w:w="1296"/>
          </w:tcPr>
          <w:p>
            <w:r>
              <w:rPr>
                <w:sz w:val="18"/>
              </w:rPr>
            </w:r>
            <w:r>
              <w:rPr>
                <w:rFonts w:ascii="Times New Roman" w:hAnsi="Times New Roman" w:eastAsia="宋体"/>
                <w:sz w:val="18"/>
              </w:rPr>
              <w:t>22.5%</w:t>
            </w:r>
          </w:p>
        </w:tc>
        <w:tc>
          <w:tcPr>
            <w:tcW w:type="dxa" w:w="1296"/>
          </w:tcPr>
          <w:p>
            <w:r>
              <w:rPr>
                <w:sz w:val="18"/>
              </w:rPr>
            </w:r>
            <w:r>
              <w:rPr>
                <w:rFonts w:ascii="Times New Roman" w:hAnsi="Times New Roman" w:eastAsia="宋体"/>
                <w:sz w:val="18"/>
              </w:rPr>
              <w:t>22.3%</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V4-pro</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61.8%</w:t>
            </w:r>
          </w:p>
        </w:tc>
        <w:tc>
          <w:tcPr>
            <w:tcW w:type="dxa" w:w="1296"/>
          </w:tcPr>
          <w:p>
            <w:r>
              <w:rPr>
                <w:sz w:val="18"/>
              </w:rPr>
            </w:r>
            <w:r>
              <w:rPr>
                <w:rFonts w:ascii="Times New Roman" w:hAnsi="Times New Roman" w:eastAsia="宋体"/>
                <w:sz w:val="18"/>
              </w:rPr>
              <w:t>81.2%</w:t>
            </w:r>
          </w:p>
        </w:tc>
        <w:tc>
          <w:tcPr>
            <w:tcW w:type="dxa" w:w="1296"/>
          </w:tcPr>
          <w:p>
            <w:r>
              <w:rPr>
                <w:sz w:val="18"/>
              </w:rPr>
            </w:r>
            <w:r>
              <w:rPr>
                <w:rFonts w:ascii="Times New Roman" w:hAnsi="Times New Roman" w:eastAsia="宋体"/>
                <w:sz w:val="18"/>
              </w:rPr>
              <w:t>23.9%</w:t>
            </w:r>
          </w:p>
        </w:tc>
        <w:tc>
          <w:tcPr>
            <w:tcW w:type="dxa" w:w="1296"/>
          </w:tcPr>
          <w:p>
            <w:r>
              <w:rPr>
                <w:sz w:val="18"/>
              </w:rPr>
            </w:r>
            <w:r>
              <w:rPr>
                <w:rFonts w:ascii="Times New Roman" w:hAnsi="Times New Roman" w:eastAsia="宋体"/>
                <w:sz w:val="18"/>
              </w:rPr>
              <w:t>28.4%</w:t>
            </w:r>
          </w:p>
        </w:tc>
        <w:tc>
          <w:tcPr>
            <w:tcW w:type="dxa" w:w="1296"/>
          </w:tcPr>
          <w:p>
            <w:r>
              <w:rPr>
                <w:sz w:val="18"/>
              </w:rPr>
            </w:r>
            <w:r>
              <w:rPr>
                <w:rFonts w:ascii="Times New Roman" w:hAnsi="Times New Roman" w:eastAsia="宋体"/>
                <w:sz w:val="18"/>
              </w:rPr>
              <w:t>93%</w:t>
            </w:r>
          </w:p>
        </w:tc>
      </w:tr>
      <w:tr>
        <w:tc>
          <w:tcPr>
            <w:tcW w:type="dxa" w:w="1296"/>
          </w:tcPr>
          <w:p>
            <w:r>
              <w:rPr>
                <w:sz w:val="18"/>
              </w:rPr>
            </w:r>
            <w:r>
              <w:rPr>
                <w:rFonts w:ascii="Times New Roman" w:hAnsi="Times New Roman" w:eastAsia="宋体"/>
                <w:sz w:val="18"/>
              </w:rPr>
              <w:t>GPT-5.6-terra</w:t>
            </w:r>
          </w:p>
        </w:tc>
        <w:tc>
          <w:tcPr>
            <w:tcW w:type="dxa" w:w="1296"/>
          </w:tcPr>
          <w:p>
            <w:r>
              <w:rPr>
                <w:sz w:val="18"/>
              </w:rPr>
            </w:r>
            <w:r>
              <w:rPr>
                <w:rFonts w:ascii="Times New Roman" w:hAnsi="Times New Roman" w:eastAsia="宋体"/>
                <w:sz w:val="18"/>
              </w:rPr>
              <w:t>OpenAI</w:t>
            </w:r>
          </w:p>
        </w:tc>
        <w:tc>
          <w:tcPr>
            <w:tcW w:type="dxa" w:w="1296"/>
          </w:tcPr>
          <w:p>
            <w:r>
              <w:rPr>
                <w:sz w:val="18"/>
              </w:rPr>
            </w:r>
            <w:r>
              <w:rPr>
                <w:rFonts w:ascii="Times New Roman" w:hAnsi="Times New Roman" w:eastAsia="宋体"/>
                <w:sz w:val="18"/>
              </w:rPr>
              <w:t>60.3%</w:t>
            </w:r>
          </w:p>
        </w:tc>
        <w:tc>
          <w:tcPr>
            <w:tcW w:type="dxa" w:w="1296"/>
          </w:tcPr>
          <w:p>
            <w:r>
              <w:rPr>
                <w:sz w:val="18"/>
              </w:rPr>
            </w:r>
            <w:r>
              <w:rPr>
                <w:rFonts w:ascii="Times New Roman" w:hAnsi="Times New Roman" w:eastAsia="宋体"/>
                <w:sz w:val="18"/>
              </w:rPr>
              <w:t>86.9%</w:t>
            </w:r>
          </w:p>
        </w:tc>
        <w:tc>
          <w:tcPr>
            <w:tcW w:type="dxa" w:w="1296"/>
          </w:tcPr>
          <w:p>
            <w:r>
              <w:rPr>
                <w:sz w:val="18"/>
              </w:rPr>
            </w:r>
            <w:r>
              <w:rPr>
                <w:rFonts w:ascii="Times New Roman" w:hAnsi="Times New Roman" w:eastAsia="宋体"/>
                <w:sz w:val="18"/>
              </w:rPr>
              <w:t>30.6%</w:t>
            </w:r>
          </w:p>
        </w:tc>
        <w:tc>
          <w:tcPr>
            <w:tcW w:type="dxa" w:w="1296"/>
          </w:tcPr>
          <w:p>
            <w:r>
              <w:rPr>
                <w:sz w:val="18"/>
              </w:rPr>
            </w:r>
            <w:r>
              <w:rPr>
                <w:rFonts w:ascii="Times New Roman" w:hAnsi="Times New Roman" w:eastAsia="宋体"/>
                <w:sz w:val="18"/>
              </w:rPr>
              <w:t>17.9%</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chat</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49.4%</w:t>
            </w:r>
          </w:p>
        </w:tc>
        <w:tc>
          <w:tcPr>
            <w:tcW w:type="dxa" w:w="1296"/>
          </w:tcPr>
          <w:p>
            <w:r>
              <w:rPr>
                <w:sz w:val="18"/>
              </w:rPr>
            </w:r>
            <w:r>
              <w:rPr>
                <w:rFonts w:ascii="Times New Roman" w:hAnsi="Times New Roman" w:eastAsia="宋体"/>
                <w:sz w:val="18"/>
              </w:rPr>
              <w:t>98.6%</w:t>
            </w:r>
          </w:p>
        </w:tc>
        <w:tc>
          <w:tcPr>
            <w:tcW w:type="dxa" w:w="1296"/>
          </w:tcPr>
          <w:p>
            <w:r>
              <w:rPr>
                <w:sz w:val="18"/>
              </w:rPr>
            </w:r>
            <w:r>
              <w:rPr>
                <w:rFonts w:ascii="Times New Roman" w:hAnsi="Times New Roman" w:eastAsia="宋体"/>
                <w:sz w:val="18"/>
              </w:rPr>
              <w:t>49.9%</w:t>
            </w:r>
          </w:p>
        </w:tc>
        <w:tc>
          <w:tcPr>
            <w:tcW w:type="dxa" w:w="1296"/>
          </w:tcPr>
          <w:p>
            <w:r>
              <w:rPr>
                <w:sz w:val="18"/>
              </w:rPr>
            </w:r>
            <w:r>
              <w:rPr>
                <w:rFonts w:ascii="Times New Roman" w:hAnsi="Times New Roman" w:eastAsia="宋体"/>
                <w:sz w:val="18"/>
              </w:rPr>
              <w:t>1.4%</w:t>
            </w:r>
          </w:p>
        </w:tc>
        <w:tc>
          <w:tcPr>
            <w:tcW w:type="dxa" w:w="1296"/>
          </w:tcPr>
          <w:p>
            <w:r>
              <w:rPr>
                <w:sz w:val="18"/>
              </w:rPr>
            </w:r>
            <w:r>
              <w:rPr>
                <w:rFonts w:ascii="Times New Roman" w:hAnsi="Times New Roman" w:eastAsia="宋体"/>
                <w:sz w:val="18"/>
              </w:rPr>
              <w:t>69%</w:t>
            </w:r>
          </w:p>
        </w:tc>
      </w:tr>
      <w:tr>
        <w:tc>
          <w:tcPr>
            <w:tcW w:type="dxa" w:w="1296"/>
          </w:tcPr>
          <w:p>
            <w:r>
              <w:rPr>
                <w:sz w:val="18"/>
              </w:rPr>
            </w:r>
            <w:r>
              <w:rPr>
                <w:rFonts w:ascii="Times New Roman" w:hAnsi="Times New Roman" w:eastAsia="宋体"/>
                <w:sz w:val="18"/>
              </w:rPr>
              <w:t>DeepSeek coder</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49.2%</w:t>
            </w:r>
          </w:p>
        </w:tc>
        <w:tc>
          <w:tcPr>
            <w:tcW w:type="dxa" w:w="1296"/>
          </w:tcPr>
          <w:p>
            <w:r>
              <w:rPr>
                <w:sz w:val="18"/>
              </w:rPr>
            </w:r>
            <w:r>
              <w:rPr>
                <w:rFonts w:ascii="Times New Roman" w:hAnsi="Times New Roman" w:eastAsia="宋体"/>
                <w:sz w:val="18"/>
              </w:rPr>
              <w:t>98.7%</w:t>
            </w:r>
          </w:p>
        </w:tc>
        <w:tc>
          <w:tcPr>
            <w:tcW w:type="dxa" w:w="1296"/>
          </w:tcPr>
          <w:p>
            <w:r>
              <w:rPr>
                <w:sz w:val="18"/>
              </w:rPr>
            </w:r>
            <w:r>
              <w:rPr>
                <w:rFonts w:ascii="Times New Roman" w:hAnsi="Times New Roman" w:eastAsia="宋体"/>
                <w:sz w:val="18"/>
              </w:rPr>
              <w:t>50.1%</w:t>
            </w:r>
          </w:p>
        </w:tc>
        <w:tc>
          <w:tcPr>
            <w:tcW w:type="dxa" w:w="1296"/>
          </w:tcPr>
          <w:p>
            <w:r>
              <w:rPr>
                <w:sz w:val="18"/>
              </w:rPr>
            </w:r>
            <w:r>
              <w:rPr>
                <w:rFonts w:ascii="Times New Roman" w:hAnsi="Times New Roman" w:eastAsia="宋体"/>
                <w:sz w:val="18"/>
              </w:rPr>
              <w:t>1.3%</w:t>
            </w:r>
          </w:p>
        </w:tc>
        <w:tc>
          <w:tcPr>
            <w:tcW w:type="dxa" w:w="1296"/>
          </w:tcPr>
          <w:p>
            <w:r>
              <w:rPr>
                <w:sz w:val="18"/>
              </w:rPr>
            </w:r>
            <w:r>
              <w:rPr>
                <w:rFonts w:ascii="Times New Roman" w:hAnsi="Times New Roman" w:eastAsia="宋体"/>
                <w:sz w:val="18"/>
              </w:rPr>
              <w:t>68%</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（76.5% [75.3–77.7]，比最佳国内模型高 4.9 pp；McNemar p = 1.7×10⁻¹³）且弃权率最低（9.2%）——但代价是 27.8% 的良性假阳性，与 V4-pro（28.4%）、MiMo（22.3%）同属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：97.0% 条件准确率、FP 3.9%——比激进阵营低一个数量级，与 Kimi（2.5%）最接近（Fisher p = 0.008，可区分但均为个位数），全对全高于 Kimi（p = 2.7×10⁻³）而低于 Qwen（p = 3.0×10⁻¹⁵）。发现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（60.3%，显著低于 Qwen：p = 4.7×10⁻⁹⁰）——能力既不随国籍也不随假定价格档流动，强化了审计的核心信息：模型选择必须基于实测盲测证据而非厂商声誉。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9.2% vs Claude 29.3%；FP 27.8% vs 3.9%）。保守/激进归属因此不是提示词不对称的伪影。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5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全量）使 Gemini 总体第一（76.5%）并显示保守/激进二分法跨生态成立。这些数字显著低于未盲法报告的专家级一致性（AI-CURA,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全对全领先（76.5%）但 27.8% 假阳性（激进阵营），Claude 以 97.0% 条件准确率配 3.9% FP（保守阵营，与 Kimi 最接近）。行为风格——而非厂商、国籍或价格档——才是有效的选择标准。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作厂商内代际对照）。国际覆盖另在完整测试集上评估三个外国旗舰（各 5,000）（同变异同提示词）：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44,996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5. 九模型行为仪表盘。</w:t>
      </w:r>
      <w:r>
        <w:rPr>
          <w:rFonts w:ascii="Times New Roman" w:hAnsi="Times New Roman" w:eastAsia="宋体"/>
        </w:rPr>
        <w:t xml:space="preserve"> 六审计维度色阶 0-100，综合视图支持模型选择。</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专家评审验证（n=797 排他变异；3 模型）</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九模型全量对比（每模型 n=5,000）</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73787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37870"/>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199260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1992605"/>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28223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2282238"/>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4997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249974"/>
                    </a:xfrm>
                    <a:prstGeom prst="rect"/>
                  </pic:spPr>
                </pic:pic>
              </a:graphicData>
            </a:graphic>
          </wp:inline>
        </w:drawing>
      </w:r>
    </w:p>
    <w:p>
      <w:r>
        <w:rPr>
          <w:rFonts w:ascii="Times New Roman" w:hAnsi="Times New Roman" w:eastAsia="宋体"/>
          <w:sz w:val="18"/>
        </w:rPr>
        <w:t>图 4. 金标准良性变异的归宿。九模型对 2,500 个良性变异的三段堆积：正确判 Benign（蓝）/ VUS 弃权（灰）/ 误判 Pathogenic（品红）。</w:t>
      </w:r>
    </w:p>
    <w:p>
      <w:r>
        <w:br w:type="page"/>
      </w:r>
    </w:p>
    <w:p>
      <w:r>
        <w:drawing>
          <wp:inline xmlns:a="http://schemas.openxmlformats.org/drawingml/2006/main" xmlns:pic="http://schemas.openxmlformats.org/drawingml/2006/picture">
            <wp:extent cx="5760000" cy="3907069"/>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760000" cy="3907069"/>
                    </a:xfrm>
                    <a:prstGeom prst="rect"/>
                  </pic:spPr>
                </pic:pic>
              </a:graphicData>
            </a:graphic>
          </wp:inline>
        </w:drawing>
      </w:r>
    </w:p>
    <w:p>
      <w:r>
        <w:rPr>
          <w:rFonts w:ascii="Times New Roman" w:hAnsi="Times New Roman" w:eastAsia="宋体"/>
          <w:sz w:val="18"/>
        </w:rPr>
        <w:t>图 5. 九模型行为仪表盘。六审计维度色阶 0-100，综合视图支持模型选择。</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