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Headline accuracy: 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98.4%</w:t>
            </w:r>
          </w:p>
        </w:tc>
        <w:tc>
          <w:tcPr>
            <w:tcW w:type="dxa" w:w="1440"/>
          </w:tcPr>
          <w:p>
            <w:r>
              <w:rPr>
                <w:sz w:val="18"/>
              </w:rPr>
            </w:r>
            <w:r>
              <w:rPr>
                <w:sz w:val="18"/>
              </w:rPr>
              <w:t>2,911</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(2,911 variants), conditional accuracy reaches 98.4%.</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4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between 2026-01 and 2026-07, P-side 645, B-side 252). Of these, 100 were also sampled into the main test set (Table 1, expert-panel stratum); to guarantee independence, Table S3 reports the </w:t>
      </w:r>
      <w:r>
        <w:rPr>
          <w:b/>
        </w:rPr>
        <w:t>800 exclusive variants</w:t>
      </w:r>
      <w:r>
        <w:t xml:space="preserve"> (797 evaluable; P: 550, B: 247).</w:t>
      </w:r>
    </w:p>
    <w:p>
      <w:r>
        <w:rPr>
          <w:b/>
        </w:rPr>
        <w:t>Table S3.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w:t>
      </w:r>
    </w:p>
    <w:p>
      <w:r>
        <w:t>(Fig. 3B):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3A) (reproducibility audit)</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5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w:t>
      </w:r>
    </w:p>
    <w:p>
      <w:r>
        <w:t>(Fig. 4):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an order of magnitude below the aggressive camp and closest to Kimi's (2.5%; Fisher exact p = 0.008, distinguishable but both single-digit),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w:t>
      </w:r>
    </w:p>
    <w:p>
      <w:r>
        <w:t>(Fig. 5)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9.2% Gemini vs. 29.3% Claude; FP 27.8% vs. 3.9%).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5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closest to Kimi's 2.5%).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45,000 raw model outputs (4 parse-failure rows excluded from analysis),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Not applicable.</w:t>
      </w:r>
    </w:p>
    <w:p>
      <w:pPr>
        <w:pStyle w:val="Heading1"/>
      </w:pPr>
      <w:r>
        <w:t>References</w:t>
      </w:r>
    </w:p>
    <w:p>
      <w:r>
        <w:t>AI-CURA, 2026. AI-CURA, an automated LLM workflow for high-accuracy genetic variant classification. Sci. Transl. Med.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https://openreview.net/forum?id=Pf0PaYS9KG</w:t>
      </w:r>
    </w:p>
    <w:p>
      <w:r>
        <w:t>Cheng, J., Novati, G., Pan, M., et al., 2023. Accurate proteome-wide missense variant effect prediction with AlphaMissense. Science 381, eadg7492.</w:t>
      </w:r>
    </w:p>
    <w:p>
      <w:r>
        <w:t>DeepSeek-AI, 2024. DeepSeek-V3 technical report. arXiv:2412.19437.</w:t>
      </w:r>
    </w:p>
    <w:p>
      <w:r>
        <w:t xml:space="preserve">Esposito, D., Weile, J., Shrestha, R., et al., 2019. MaveDB: an open-source platform to distribute and query data from multiplexed assays of variant effect. bioRxiv. </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complete test 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5. Behavioral dashboard of the nine models.</w:t>
      </w:r>
    </w:p>
    <w:p>
      <w:r>
        <w:t>Six audited dimensions per model (all-inclusive, conditional, expert-panel, abstention, Benign-to-Pathogenic FP, spoken rate), color-coded 0-100; the dashboard summarizes the audit and supports model selection.</w:t>
      </w:r>
    </w:p>
    <w:p>
      <w:r>
        <w:rPr>
          <w:b/>
        </w:rPr>
        <w:t>Fig. 4. Fate of gold-standard Benign variants across the nine models.</w:t>
      </w:r>
    </w:p>
    <w:p>
      <w:r>
        <w:t>For each model, the share of the 2,500 gold-standard Benign variants that is</w:t>
      </w:r>
    </w:p>
    <w:p>
      <w:r>
        <w:t>correctly called Benign (blue), abstained as VUS (grey), or misclassified as</w:t>
      </w:r>
    </w:p>
    <w:p>
      <w:r>
        <w:t>Pathogenic (magenta) — the clinically dangerous direction. Conservative and</w:t>
      </w:r>
    </w:p>
    <w:p>
      <w:r>
        <w:t>aggressive camps separate sharply on the magenta segment.</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Table S3.</w:t>
      </w:r>
      <w:r>
        <w:t xml:space="preserve"> Expert-panel validation (n = 797 exclusive variants; 3 models).</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