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：宋兵¹、张凯²,*（¹广州医科大学附属第三医院；²广东交通职业技术学院）</w:t>
      </w:r>
    </w:p>
    <w:p>
      <w:pPr>
        <w:spacing w:line="312" w:lineRule="auto"/>
      </w:pPr>
      <w:r>
        <w:rPr>
          <w:rFonts w:ascii="Times New Roman" w:hAnsi="Times New Roman" w:eastAsia="宋体"/>
          <w:b/>
        </w:rPr>
        <w:t>通讯作者</w:t>
      </w:r>
      <w:r>
        <w:rPr>
          <w:rFonts w:ascii="Times New Roman" w:hAnsi="Times New Roman" w:eastAsia="宋体"/>
        </w:rPr>
        <w:t>：张凯 · zhangkai@gdcp.edu.cn</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5，同一批 500 变异子集），并在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国际领先（80.2%）；Claude 以 97.4% 表态准确率配 3.6%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6（部分头条成绩是"读名"）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4（推理模型不确定）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成本审计</w:t>
      </w:r>
    </w:p>
    <w:p>
      <w:pPr>
        <w:spacing w:line="312" w:lineRule="auto"/>
      </w:pPr>
      <w:r>
        <w:rPr>
          <w:rFonts w:ascii="Times New Roman" w:hAnsi="Times New Roman" w:eastAsia="宋体"/>
          <w:b/>
        </w:rPr>
        <w:t>表 S2. 每变异 token 用量、成本与延迟（n = 30×6）</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sz w:val="18"/>
              </w:rPr>
            </w:r>
            <w:r>
              <w:rPr>
                <w:rFonts w:ascii="Times New Roman" w:hAnsi="Times New Roman" w:eastAsia="宋体"/>
                <w:b/>
                <w:sz w:val="18"/>
              </w:rPr>
              <w:t>模型</w:t>
            </w:r>
          </w:p>
        </w:tc>
        <w:tc>
          <w:tcPr>
            <w:tcW w:type="dxa" w:w="1814"/>
          </w:tcPr>
          <w:p>
            <w:r>
              <w:rPr>
                <w:b/>
                <w:sz w:val="18"/>
              </w:rPr>
            </w:r>
            <w:r>
              <w:rPr>
                <w:rFonts w:ascii="Times New Roman" w:hAnsi="Times New Roman" w:eastAsia="宋体"/>
                <w:b/>
                <w:sz w:val="18"/>
              </w:rPr>
              <w:t>输入 tok</w:t>
            </w:r>
          </w:p>
        </w:tc>
        <w:tc>
          <w:tcPr>
            <w:tcW w:type="dxa" w:w="1814"/>
          </w:tcPr>
          <w:p>
            <w:r>
              <w:rPr>
                <w:b/>
                <w:sz w:val="18"/>
              </w:rPr>
            </w:r>
            <w:r>
              <w:rPr>
                <w:rFonts w:ascii="Times New Roman" w:hAnsi="Times New Roman" w:eastAsia="宋体"/>
                <w:b/>
                <w:sz w:val="18"/>
              </w:rPr>
              <w:t>输出 tok</w:t>
            </w:r>
          </w:p>
        </w:tc>
        <w:tc>
          <w:tcPr>
            <w:tcW w:type="dxa" w:w="1814"/>
          </w:tcPr>
          <w:p>
            <w:r>
              <w:rPr>
                <w:b/>
                <w:sz w:val="18"/>
              </w:rPr>
            </w:r>
            <w:r>
              <w:rPr>
                <w:rFonts w:ascii="Times New Roman" w:hAnsi="Times New Roman" w:eastAsia="宋体"/>
                <w:b/>
                <w:sz w:val="18"/>
              </w:rPr>
              <w:t>成本（¥/变异）</w:t>
            </w:r>
          </w:p>
        </w:tc>
        <w:tc>
          <w:tcPr>
            <w:tcW w:type="dxa" w:w="1814"/>
          </w:tcPr>
          <w:p>
            <w:r>
              <w:rPr>
                <w:b/>
                <w:sz w:val="18"/>
              </w:rPr>
            </w:r>
            <w:r>
              <w:rPr>
                <w:rFonts w:ascii="Times New Roman" w:hAnsi="Times New Roman" w:eastAsia="宋体"/>
                <w:b/>
                <w:sz w:val="18"/>
              </w:rPr>
              <w:t>延迟（秒）</w:t>
            </w:r>
          </w:p>
        </w:tc>
      </w:tr>
      <w:tr>
        <w:tc>
          <w:tcPr>
            <w:tcW w:type="dxa" w:w="1814"/>
          </w:tcPr>
          <w:p>
            <w:r>
              <w:rPr>
                <w:sz w:val="18"/>
              </w:rPr>
            </w:r>
            <w:r>
              <w:rPr>
                <w:rFonts w:ascii="Times New Roman" w:hAnsi="Times New Roman" w:eastAsia="宋体"/>
                <w:sz w:val="18"/>
              </w:rPr>
              <w:t>DeepSeek chat</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132</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2.3</w:t>
            </w:r>
          </w:p>
        </w:tc>
      </w:tr>
      <w:tr>
        <w:tc>
          <w:tcPr>
            <w:tcW w:type="dxa" w:w="1814"/>
          </w:tcPr>
          <w:p>
            <w:r>
              <w:rPr>
                <w:sz w:val="18"/>
              </w:rPr>
            </w:r>
            <w:r>
              <w:rPr>
                <w:rFonts w:ascii="Times New Roman" w:hAnsi="Times New Roman" w:eastAsia="宋体"/>
                <w:sz w:val="18"/>
              </w:rPr>
              <w:t>DeepSeek coder</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137</w:t>
            </w:r>
          </w:p>
        </w:tc>
        <w:tc>
          <w:tcPr>
            <w:tcW w:type="dxa" w:w="1814"/>
          </w:tcPr>
          <w:p>
            <w:r>
              <w:rPr>
                <w:sz w:val="18"/>
              </w:rPr>
            </w:r>
            <w:r>
              <w:rPr>
                <w:rFonts w:ascii="Times New Roman" w:hAnsi="Times New Roman" w:eastAsia="宋体"/>
                <w:sz w:val="18"/>
              </w:rPr>
              <w:t>0.001</w:t>
            </w:r>
          </w:p>
        </w:tc>
        <w:tc>
          <w:tcPr>
            <w:tcW w:type="dxa" w:w="1814"/>
          </w:tcPr>
          <w:p>
            <w:r>
              <w:rPr>
                <w:sz w:val="18"/>
              </w:rPr>
            </w:r>
            <w:r>
              <w:rPr>
                <w:rFonts w:ascii="Times New Roman" w:hAnsi="Times New Roman" w:eastAsia="宋体"/>
                <w:sz w:val="18"/>
              </w:rPr>
              <w:t>2.5</w:t>
            </w:r>
          </w:p>
        </w:tc>
      </w:tr>
      <w:tr>
        <w:tc>
          <w:tcPr>
            <w:tcW w:type="dxa" w:w="1814"/>
          </w:tcPr>
          <w:p>
            <w:r>
              <w:rPr>
                <w:sz w:val="18"/>
              </w:rPr>
            </w:r>
            <w:r>
              <w:rPr>
                <w:rFonts w:ascii="Times New Roman" w:hAnsi="Times New Roman" w:eastAsia="宋体"/>
                <w:sz w:val="18"/>
              </w:rPr>
              <w:t>Kimi-K2.6</w:t>
            </w:r>
          </w:p>
        </w:tc>
        <w:tc>
          <w:tcPr>
            <w:tcW w:type="dxa" w:w="1814"/>
          </w:tcPr>
          <w:p>
            <w:r>
              <w:rPr>
                <w:sz w:val="18"/>
              </w:rPr>
            </w:r>
            <w:r>
              <w:rPr>
                <w:rFonts w:ascii="Times New Roman" w:hAnsi="Times New Roman" w:eastAsia="宋体"/>
                <w:sz w:val="18"/>
              </w:rPr>
              <w:t>183</w:t>
            </w:r>
          </w:p>
        </w:tc>
        <w:tc>
          <w:tcPr>
            <w:tcW w:type="dxa" w:w="1814"/>
          </w:tcPr>
          <w:p>
            <w:r>
              <w:rPr>
                <w:sz w:val="18"/>
              </w:rPr>
            </w:r>
            <w:r>
              <w:rPr>
                <w:rFonts w:ascii="Times New Roman" w:hAnsi="Times New Roman" w:eastAsia="宋体"/>
                <w:sz w:val="18"/>
              </w:rPr>
              <w:t>160</w:t>
            </w:r>
          </w:p>
        </w:tc>
        <w:tc>
          <w:tcPr>
            <w:tcW w:type="dxa" w:w="1814"/>
          </w:tcPr>
          <w:p>
            <w:r>
              <w:rPr>
                <w:sz w:val="18"/>
              </w:rPr>
            </w:r>
            <w:r>
              <w:rPr>
                <w:rFonts w:ascii="Times New Roman" w:hAnsi="Times New Roman" w:eastAsia="宋体"/>
                <w:sz w:val="18"/>
              </w:rPr>
              <w:t>0.003</w:t>
            </w:r>
          </w:p>
        </w:tc>
        <w:tc>
          <w:tcPr>
            <w:tcW w:type="dxa" w:w="1814"/>
          </w:tcPr>
          <w:p>
            <w:r>
              <w:rPr>
                <w:sz w:val="18"/>
              </w:rPr>
            </w:r>
            <w:r>
              <w:rPr>
                <w:rFonts w:ascii="Times New Roman" w:hAnsi="Times New Roman" w:eastAsia="宋体"/>
                <w:sz w:val="18"/>
              </w:rPr>
              <w:t>5.9</w:t>
            </w:r>
          </w:p>
        </w:tc>
      </w:tr>
      <w:tr>
        <w:tc>
          <w:tcPr>
            <w:tcW w:type="dxa" w:w="1814"/>
          </w:tcPr>
          <w:p>
            <w:r>
              <w:rPr>
                <w:sz w:val="18"/>
              </w:rPr>
            </w:r>
            <w:r>
              <w:rPr>
                <w:rFonts w:ascii="Times New Roman" w:hAnsi="Times New Roman" w:eastAsia="宋体"/>
                <w:sz w:val="18"/>
              </w:rPr>
              <w:t>DeepSeek V4-pro</w:t>
            </w:r>
          </w:p>
        </w:tc>
        <w:tc>
          <w:tcPr>
            <w:tcW w:type="dxa" w:w="1814"/>
          </w:tcPr>
          <w:p>
            <w:r>
              <w:rPr>
                <w:sz w:val="18"/>
              </w:rPr>
            </w:r>
            <w:r>
              <w:rPr>
                <w:rFonts w:ascii="Times New Roman" w:hAnsi="Times New Roman" w:eastAsia="宋体"/>
                <w:sz w:val="18"/>
              </w:rPr>
              <w:t>179</w:t>
            </w:r>
          </w:p>
        </w:tc>
        <w:tc>
          <w:tcPr>
            <w:tcW w:type="dxa" w:w="1814"/>
          </w:tcPr>
          <w:p>
            <w:r>
              <w:rPr>
                <w:sz w:val="18"/>
              </w:rPr>
            </w:r>
            <w:r>
              <w:rPr>
                <w:rFonts w:ascii="Times New Roman" w:hAnsi="Times New Roman" w:eastAsia="宋体"/>
                <w:sz w:val="18"/>
              </w:rPr>
              <w:t>2,728</w:t>
            </w:r>
          </w:p>
        </w:tc>
        <w:tc>
          <w:tcPr>
            <w:tcW w:type="dxa" w:w="1814"/>
          </w:tcPr>
          <w:p>
            <w:r>
              <w:rPr>
                <w:sz w:val="18"/>
              </w:rPr>
            </w:r>
            <w:r>
              <w:rPr>
                <w:rFonts w:ascii="Times New Roman" w:hAnsi="Times New Roman" w:eastAsia="宋体"/>
                <w:sz w:val="18"/>
              </w:rPr>
              <w:t>0.017</w:t>
            </w:r>
          </w:p>
        </w:tc>
        <w:tc>
          <w:tcPr>
            <w:tcW w:type="dxa" w:w="1814"/>
          </w:tcPr>
          <w:p>
            <w:r>
              <w:rPr>
                <w:sz w:val="18"/>
              </w:rPr>
            </w:r>
            <w:r>
              <w:rPr>
                <w:rFonts w:ascii="Times New Roman" w:hAnsi="Times New Roman" w:eastAsia="宋体"/>
                <w:sz w:val="18"/>
              </w:rPr>
              <w:t>65.9</w:t>
            </w:r>
          </w:p>
        </w:tc>
      </w:tr>
      <w:tr>
        <w:tc>
          <w:tcPr>
            <w:tcW w:type="dxa" w:w="1814"/>
          </w:tcPr>
          <w:p>
            <w:r>
              <w:rPr>
                <w:sz w:val="18"/>
              </w:rPr>
            </w:r>
            <w:r>
              <w:rPr>
                <w:rFonts w:ascii="Times New Roman" w:hAnsi="Times New Roman" w:eastAsia="宋体"/>
                <w:sz w:val="18"/>
              </w:rPr>
              <w:t>Qwen3.7-max</w:t>
            </w:r>
          </w:p>
        </w:tc>
        <w:tc>
          <w:tcPr>
            <w:tcW w:type="dxa" w:w="1814"/>
          </w:tcPr>
          <w:p>
            <w:r>
              <w:rPr>
                <w:sz w:val="18"/>
              </w:rPr>
            </w:r>
            <w:r>
              <w:rPr>
                <w:rFonts w:ascii="Times New Roman" w:hAnsi="Times New Roman" w:eastAsia="宋体"/>
                <w:sz w:val="18"/>
              </w:rPr>
              <w:t>206</w:t>
            </w:r>
          </w:p>
        </w:tc>
        <w:tc>
          <w:tcPr>
            <w:tcW w:type="dxa" w:w="1814"/>
          </w:tcPr>
          <w:p>
            <w:r>
              <w:rPr>
                <w:sz w:val="18"/>
              </w:rPr>
            </w:r>
            <w:r>
              <w:rPr>
                <w:rFonts w:ascii="Times New Roman" w:hAnsi="Times New Roman" w:eastAsia="宋体"/>
                <w:sz w:val="18"/>
              </w:rPr>
              <w:t>1,936</w:t>
            </w:r>
          </w:p>
        </w:tc>
        <w:tc>
          <w:tcPr>
            <w:tcW w:type="dxa" w:w="1814"/>
          </w:tcPr>
          <w:p>
            <w:r>
              <w:rPr>
                <w:sz w:val="18"/>
              </w:rPr>
            </w:r>
            <w:r>
              <w:rPr>
                <w:rFonts w:ascii="Times New Roman" w:hAnsi="Times New Roman" w:eastAsia="宋体"/>
                <w:sz w:val="18"/>
              </w:rPr>
              <w:t>0.019</w:t>
            </w:r>
          </w:p>
        </w:tc>
        <w:tc>
          <w:tcPr>
            <w:tcW w:type="dxa" w:w="1814"/>
          </w:tcPr>
          <w:p>
            <w:r>
              <w:rPr>
                <w:sz w:val="18"/>
              </w:rPr>
            </w:r>
            <w:r>
              <w:rPr>
                <w:rFonts w:ascii="Times New Roman" w:hAnsi="Times New Roman" w:eastAsia="宋体"/>
                <w:sz w:val="18"/>
              </w:rPr>
              <w:t>37.7</w:t>
            </w:r>
          </w:p>
        </w:tc>
      </w:tr>
      <w:tr>
        <w:tc>
          <w:tcPr>
            <w:tcW w:type="dxa" w:w="1814"/>
          </w:tcPr>
          <w:p>
            <w:r>
              <w:rPr>
                <w:sz w:val="18"/>
              </w:rPr>
            </w:r>
            <w:r>
              <w:rPr>
                <w:rFonts w:ascii="Times New Roman" w:hAnsi="Times New Roman" w:eastAsia="宋体"/>
                <w:sz w:val="18"/>
              </w:rPr>
              <w:t>MiMo V2.5 Pro</w:t>
            </w:r>
          </w:p>
        </w:tc>
        <w:tc>
          <w:tcPr>
            <w:tcW w:type="dxa" w:w="1814"/>
          </w:tcPr>
          <w:p>
            <w:r>
              <w:rPr>
                <w:sz w:val="18"/>
              </w:rPr>
            </w:r>
            <w:r>
              <w:rPr>
                <w:rFonts w:ascii="Times New Roman" w:hAnsi="Times New Roman" w:eastAsia="宋体"/>
                <w:sz w:val="18"/>
              </w:rPr>
              <w:t>440</w:t>
            </w:r>
          </w:p>
        </w:tc>
        <w:tc>
          <w:tcPr>
            <w:tcW w:type="dxa" w:w="1814"/>
          </w:tcPr>
          <w:p>
            <w:r>
              <w:rPr>
                <w:sz w:val="18"/>
              </w:rPr>
            </w:r>
            <w:r>
              <w:rPr>
                <w:rFonts w:ascii="Times New Roman" w:hAnsi="Times New Roman" w:eastAsia="宋体"/>
                <w:sz w:val="18"/>
              </w:rPr>
              <w:t>1,754</w:t>
            </w:r>
          </w:p>
        </w:tc>
        <w:tc>
          <w:tcPr>
            <w:tcW w:type="dxa" w:w="1814"/>
          </w:tcPr>
          <w:p>
            <w:r>
              <w:rPr>
                <w:sz w:val="18"/>
              </w:rPr>
            </w:r>
            <w:r>
              <w:rPr>
                <w:rFonts w:ascii="Times New Roman" w:hAnsi="Times New Roman" w:eastAsia="宋体"/>
                <w:sz w:val="18"/>
              </w:rPr>
              <w:t>0.041</w:t>
            </w:r>
          </w:p>
        </w:tc>
        <w:tc>
          <w:tcPr>
            <w:tcW w:type="dxa" w:w="1814"/>
          </w:tcPr>
          <w:p>
            <w:r>
              <w:rPr>
                <w:sz w:val="18"/>
              </w:rPr>
            </w:r>
            <w:r>
              <w:rPr>
                <w:rFonts w:ascii="Times New Roman" w:hAnsi="Times New Roman" w:eastAsia="宋体"/>
                <w:sz w:val="18"/>
              </w:rPr>
              <w:t>30.6</w:t>
            </w:r>
          </w:p>
        </w:tc>
      </w:tr>
    </w:tbl>
    <w:p>
      <w:pPr>
        <w:spacing w:line="312" w:lineRule="auto"/>
      </w:pPr>
      <w:r>
        <w:rPr>
          <w:rFonts w:ascii="Times New Roman" w:hAnsi="Times New Roman" w:eastAsia="宋体"/>
          <w:b/>
        </w:rPr>
        <w:t>发现 5（推理税）</w:t>
      </w:r>
      <w:r>
        <w:rPr>
          <w:rFonts w:ascii="Times New Roman" w:hAnsi="Times New Roman" w:eastAsia="宋体"/>
        </w:rPr>
        <w:t xml:space="preserve">：推理模型比对话型多产生 </w:t>
      </w:r>
      <w:r>
        <w:rPr>
          <w:rFonts w:ascii="Times New Roman" w:hAnsi="Times New Roman" w:eastAsia="宋体"/>
          <w:b/>
        </w:rPr>
        <w:t>13–21 倍输出 token</w:t>
      </w:r>
      <w:r>
        <w:rPr>
          <w:rFonts w:ascii="Times New Roman" w:hAnsi="Times New Roman" w:eastAsia="宋体"/>
        </w:rPr>
        <w:t xml:space="preserve">（思维链按补全计费），每变异成本跨度 </w:t>
      </w:r>
      <w:r>
        <w:rPr>
          <w:rFonts w:ascii="Times New Roman" w:hAnsi="Times New Roman" w:eastAsia="宋体"/>
          <w:b/>
        </w:rPr>
        <w:t>41 倍</w:t>
      </w:r>
      <w:r>
        <w:rPr>
          <w:rFonts w:ascii="Times New Roman" w:hAnsi="Times New Roman" w:eastAsia="宋体"/>
        </w:rPr>
        <w:t xml:space="preserve">、延迟跨度 </w:t>
      </w:r>
      <w:r>
        <w:rPr>
          <w:rFonts w:ascii="Times New Roman" w:hAnsi="Times New Roman" w:eastAsia="宋体"/>
          <w:b/>
        </w:rPr>
        <w:t>29 倍</w:t>
      </w:r>
      <w:r>
        <w:rPr>
          <w:rFonts w:ascii="Times New Roman" w:hAnsi="Times New Roman" w:eastAsia="宋体"/>
        </w:rPr>
        <w:t>。结合发现 2 与 4（表态更不准 + 不可复现），推理风格没有换来准确率、稳定性或安全性中的任何一项：除原始全对全外，对话型在所有维度占优，而 Kimi（67.0%）以 1/6–1/14 的成本匹敌或超过每个推理模型。对人群规模变异筛查，模型选择也是成本决策。</w:t>
      </w:r>
    </w:p>
    <w:p>
      <w:r>
        <w:rPr>
          <w:rFonts w:ascii="Times New Roman" w:hAnsi="Times New Roman" w:eastAsia="黑体"/>
          <w:b/>
          <w:sz w:val="24"/>
        </w:rPr>
        <w:t>国际扩展：同一 500 变异子集上的三个外国旗舰</w:t>
      </w:r>
    </w:p>
    <w:p>
      <w:pPr>
        <w:spacing w:line="312" w:lineRule="auto"/>
      </w:pPr>
      <w:r>
        <w:rPr>
          <w:rFonts w:ascii="Times New Roman" w:hAnsi="Times New Roman" w:eastAsia="宋体"/>
        </w:rPr>
        <w:t>为检验国内发现是否跨训练生态成立，我们在同一时间盲法测试集的</w:t>
      </w:r>
      <w:r>
        <w:rPr>
          <w:rFonts w:ascii="Times New Roman" w:hAnsi="Times New Roman" w:eastAsia="宋体"/>
          <w:b/>
        </w:rPr>
        <w:t>前 500 个变异</w:t>
      </w:r>
      <w:r>
        <w:rPr>
          <w:rFonts w:ascii="Times New Roman" w:hAnsi="Times New Roman" w:eastAsia="宋体"/>
        </w:rPr>
        <w:t>上评估了 Gemini 3 Flash、GPT-5.6-terra 与 Claude Sonnet 5（相同提示词；三者统一加研究性 system prompt，见方法）。</w:t>
      </w:r>
    </w:p>
    <w:p>
      <w:pPr>
        <w:spacing w:line="312" w:lineRule="auto"/>
      </w:pPr>
      <w:r>
        <w:rPr>
          <w:rFonts w:ascii="Times New Roman" w:hAnsi="Times New Roman" w:eastAsia="宋体"/>
          <w:b/>
        </w:rPr>
        <w:t>表 S3. 同一 500 变异子集九模型对比</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条件</w:t>
            </w:r>
          </w:p>
        </w:tc>
        <w:tc>
          <w:tcPr>
            <w:tcW w:type="dxa" w:w="1512"/>
          </w:tcPr>
          <w:p>
            <w:r>
              <w:rPr>
                <w:b/>
                <w:sz w:val="18"/>
              </w:rPr>
            </w:r>
            <w:r>
              <w:rPr>
                <w:rFonts w:ascii="Times New Roman" w:hAnsi="Times New Roman" w:eastAsia="宋体"/>
                <w:b/>
                <w:sz w:val="18"/>
              </w:rPr>
              <w:t>弃权</w:t>
            </w:r>
          </w:p>
        </w:tc>
        <w:tc>
          <w:tcPr>
            <w:tcW w:type="dxa" w:w="1512"/>
          </w:tcPr>
          <w:p>
            <w:r>
              <w:rPr>
                <w:b/>
                <w:sz w:val="18"/>
              </w:rPr>
            </w:r>
            <w:r>
              <w:rPr>
                <w:rFonts w:ascii="Times New Roman" w:hAnsi="Times New Roman" w:eastAsia="宋体"/>
                <w:b/>
                <w:sz w:val="18"/>
              </w:rPr>
              <w:t>良性→致病 FP</w:t>
            </w:r>
          </w:p>
        </w:tc>
      </w:tr>
      <w:tr>
        <w:tc>
          <w:tcPr>
            <w:tcW w:type="dxa" w:w="1512"/>
          </w:tcPr>
          <w:p>
            <w:r>
              <w:rPr>
                <w:sz w:val="18"/>
              </w:rPr>
            </w:r>
            <w:r>
              <w:rPr>
                <w:rFonts w:ascii="Times New Roman" w:hAnsi="Times New Roman" w:eastAsia="宋体"/>
                <w:sz w:val="18"/>
              </w:rPr>
              <w:t>Gemini 3 Flash</w:t>
            </w:r>
          </w:p>
        </w:tc>
        <w:tc>
          <w:tcPr>
            <w:tcW w:type="dxa" w:w="1512"/>
          </w:tcPr>
          <w:p>
            <w:r>
              <w:rPr>
                <w:sz w:val="18"/>
              </w:rPr>
            </w:r>
            <w:r>
              <w:rPr>
                <w:rFonts w:ascii="Times New Roman" w:hAnsi="Times New Roman" w:eastAsia="宋体"/>
                <w:sz w:val="18"/>
              </w:rPr>
              <w:t>Google</w:t>
            </w:r>
          </w:p>
        </w:tc>
        <w:tc>
          <w:tcPr>
            <w:tcW w:type="dxa" w:w="1512"/>
          </w:tcPr>
          <w:p>
            <w:r>
              <w:rPr>
                <w:sz w:val="18"/>
              </w:rPr>
            </w:r>
            <w:r>
              <w:rPr>
                <w:rFonts w:ascii="Times New Roman" w:hAnsi="Times New Roman" w:eastAsia="宋体"/>
                <w:b/>
                <w:sz w:val="18"/>
              </w:rPr>
              <w:t>80.2%</w:t>
            </w:r>
          </w:p>
        </w:tc>
        <w:tc>
          <w:tcPr>
            <w:tcW w:type="dxa" w:w="1512"/>
          </w:tcPr>
          <w:p>
            <w:r>
              <w:rPr>
                <w:sz w:val="18"/>
              </w:rPr>
            </w:r>
            <w:r>
              <w:rPr>
                <w:rFonts w:ascii="Times New Roman" w:hAnsi="Times New Roman" w:eastAsia="宋体"/>
                <w:sz w:val="18"/>
              </w:rPr>
              <w:t>89.7%</w:t>
            </w:r>
          </w:p>
        </w:tc>
        <w:tc>
          <w:tcPr>
            <w:tcW w:type="dxa" w:w="1512"/>
          </w:tcPr>
          <w:p>
            <w:r>
              <w:rPr>
                <w:sz w:val="18"/>
              </w:rPr>
            </w:r>
            <w:r>
              <w:rPr>
                <w:rFonts w:ascii="Times New Roman" w:hAnsi="Times New Roman" w:eastAsia="宋体"/>
                <w:sz w:val="18"/>
              </w:rPr>
              <w:t>10.6%</w:t>
            </w:r>
          </w:p>
        </w:tc>
        <w:tc>
          <w:tcPr>
            <w:tcW w:type="dxa" w:w="1512"/>
          </w:tcPr>
          <w:p>
            <w:r>
              <w:rPr>
                <w:sz w:val="18"/>
              </w:rPr>
            </w:r>
            <w:r>
              <w:rPr>
                <w:rFonts w:ascii="Times New Roman" w:hAnsi="Times New Roman" w:eastAsia="宋体"/>
                <w:sz w:val="18"/>
              </w:rPr>
              <w:t>17.4%</w:t>
            </w:r>
          </w:p>
        </w:tc>
      </w:tr>
      <w:tr>
        <w:tc>
          <w:tcPr>
            <w:tcW w:type="dxa" w:w="1512"/>
          </w:tcPr>
          <w:p>
            <w:r>
              <w:rPr>
                <w:sz w:val="18"/>
              </w:rPr>
            </w:r>
            <w:r>
              <w:rPr>
                <w:rFonts w:ascii="Times New Roman" w:hAnsi="Times New Roman" w:eastAsia="宋体"/>
                <w:sz w:val="18"/>
              </w:rPr>
              <w:t>Claude Sonnet 5</w:t>
            </w:r>
          </w:p>
        </w:tc>
        <w:tc>
          <w:tcPr>
            <w:tcW w:type="dxa" w:w="1512"/>
          </w:tcPr>
          <w:p>
            <w:r>
              <w:rPr>
                <w:sz w:val="18"/>
              </w:rPr>
            </w:r>
            <w:r>
              <w:rPr>
                <w:rFonts w:ascii="Times New Roman" w:hAnsi="Times New Roman" w:eastAsia="宋体"/>
                <w:sz w:val="18"/>
              </w:rPr>
              <w:t>Anthropic</w:t>
            </w:r>
          </w:p>
        </w:tc>
        <w:tc>
          <w:tcPr>
            <w:tcW w:type="dxa" w:w="1512"/>
          </w:tcPr>
          <w:p>
            <w:r>
              <w:rPr>
                <w:sz w:val="18"/>
              </w:rPr>
            </w:r>
            <w:r>
              <w:rPr>
                <w:rFonts w:ascii="Times New Roman" w:hAnsi="Times New Roman" w:eastAsia="宋体"/>
                <w:sz w:val="18"/>
              </w:rPr>
              <w:t>73.8%</w:t>
            </w:r>
          </w:p>
        </w:tc>
        <w:tc>
          <w:tcPr>
            <w:tcW w:type="dxa" w:w="1512"/>
          </w:tcPr>
          <w:p>
            <w:r>
              <w:rPr>
                <w:sz w:val="18"/>
              </w:rPr>
            </w:r>
            <w:r>
              <w:rPr>
                <w:rFonts w:ascii="Times New Roman" w:hAnsi="Times New Roman" w:eastAsia="宋体"/>
                <w:sz w:val="18"/>
              </w:rPr>
              <w:t>97.4%</w:t>
            </w:r>
          </w:p>
        </w:tc>
        <w:tc>
          <w:tcPr>
            <w:tcW w:type="dxa" w:w="1512"/>
          </w:tcPr>
          <w:p>
            <w:r>
              <w:rPr>
                <w:sz w:val="18"/>
              </w:rPr>
            </w:r>
            <w:r>
              <w:rPr>
                <w:rFonts w:ascii="Times New Roman" w:hAnsi="Times New Roman" w:eastAsia="宋体"/>
                <w:sz w:val="18"/>
              </w:rPr>
              <w:t>24.2%</w:t>
            </w:r>
          </w:p>
        </w:tc>
        <w:tc>
          <w:tcPr>
            <w:tcW w:type="dxa" w:w="1512"/>
          </w:tcPr>
          <w:p>
            <w:r>
              <w:rPr>
                <w:sz w:val="18"/>
              </w:rPr>
            </w:r>
            <w:r>
              <w:rPr>
                <w:rFonts w:ascii="Times New Roman" w:hAnsi="Times New Roman" w:eastAsia="宋体"/>
                <w:b/>
                <w:sz w:val="18"/>
              </w:rPr>
              <w:t>3.6%</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sz w:val="18"/>
              </w:rPr>
              <w:t>73.4%</w:t>
            </w:r>
          </w:p>
        </w:tc>
        <w:tc>
          <w:tcPr>
            <w:tcW w:type="dxa" w:w="1512"/>
          </w:tcPr>
          <w:p>
            <w:r>
              <w:rPr>
                <w:sz w:val="18"/>
              </w:rPr>
            </w:r>
            <w:r>
              <w:rPr>
                <w:rFonts w:ascii="Times New Roman" w:hAnsi="Times New Roman" w:eastAsia="宋体"/>
                <w:sz w:val="18"/>
              </w:rPr>
              <w:t>96.1%</w:t>
            </w:r>
          </w:p>
        </w:tc>
        <w:tc>
          <w:tcPr>
            <w:tcW w:type="dxa" w:w="1512"/>
          </w:tcPr>
          <w:p>
            <w:r>
              <w:rPr>
                <w:sz w:val="18"/>
              </w:rPr>
            </w:r>
            <w:r>
              <w:rPr>
                <w:rFonts w:ascii="Times New Roman" w:hAnsi="Times New Roman" w:eastAsia="宋体"/>
                <w:sz w:val="18"/>
              </w:rPr>
              <w:t>23.6%</w:t>
            </w:r>
          </w:p>
        </w:tc>
        <w:tc>
          <w:tcPr>
            <w:tcW w:type="dxa" w:w="1512"/>
          </w:tcPr>
          <w:p>
            <w:r>
              <w:rPr>
                <w:sz w:val="18"/>
              </w:rPr>
            </w:r>
            <w:r>
              <w:rPr>
                <w:rFonts w:ascii="Times New Roman" w:hAnsi="Times New Roman" w:eastAsia="宋体"/>
                <w:sz w:val="18"/>
              </w:rPr>
              <w:t>5.7%</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67.8%</w:t>
            </w:r>
          </w:p>
        </w:tc>
        <w:tc>
          <w:tcPr>
            <w:tcW w:type="dxa" w:w="1512"/>
          </w:tcPr>
          <w:p>
            <w:r>
              <w:rPr>
                <w:sz w:val="18"/>
              </w:rPr>
            </w:r>
            <w:r>
              <w:rPr>
                <w:rFonts w:ascii="Times New Roman" w:hAnsi="Times New Roman" w:eastAsia="宋体"/>
                <w:sz w:val="18"/>
              </w:rPr>
              <w:t>98.0%</w:t>
            </w:r>
          </w:p>
        </w:tc>
        <w:tc>
          <w:tcPr>
            <w:tcW w:type="dxa" w:w="1512"/>
          </w:tcPr>
          <w:p>
            <w:r>
              <w:rPr>
                <w:sz w:val="18"/>
              </w:rPr>
            </w:r>
            <w:r>
              <w:rPr>
                <w:rFonts w:ascii="Times New Roman" w:hAnsi="Times New Roman" w:eastAsia="宋体"/>
                <w:sz w:val="18"/>
              </w:rPr>
              <w:t>30.8%</w:t>
            </w:r>
          </w:p>
        </w:tc>
        <w:tc>
          <w:tcPr>
            <w:tcW w:type="dxa" w:w="1512"/>
          </w:tcPr>
          <w:p>
            <w:r>
              <w:rPr>
                <w:sz w:val="18"/>
              </w:rPr>
            </w:r>
            <w:r>
              <w:rPr>
                <w:rFonts w:ascii="Times New Roman" w:hAnsi="Times New Roman" w:eastAsia="宋体"/>
                <w:sz w:val="18"/>
              </w:rPr>
              <w:t>2.8%</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66.6%</w:t>
            </w:r>
          </w:p>
        </w:tc>
        <w:tc>
          <w:tcPr>
            <w:tcW w:type="dxa" w:w="1512"/>
          </w:tcPr>
          <w:p>
            <w:r>
              <w:rPr>
                <w:sz w:val="18"/>
              </w:rPr>
            </w:r>
            <w:r>
              <w:rPr>
                <w:rFonts w:ascii="Times New Roman" w:hAnsi="Times New Roman" w:eastAsia="宋体"/>
                <w:sz w:val="18"/>
              </w:rPr>
              <w:t>86.9%</w:t>
            </w:r>
          </w:p>
        </w:tc>
        <w:tc>
          <w:tcPr>
            <w:tcW w:type="dxa" w:w="1512"/>
          </w:tcPr>
          <w:p>
            <w:r>
              <w:rPr>
                <w:sz w:val="18"/>
              </w:rPr>
            </w:r>
            <w:r>
              <w:rPr>
                <w:rFonts w:ascii="Times New Roman" w:hAnsi="Times New Roman" w:eastAsia="宋体"/>
                <w:sz w:val="18"/>
              </w:rPr>
              <w:t>23.4%</w:t>
            </w:r>
          </w:p>
        </w:tc>
        <w:tc>
          <w:tcPr>
            <w:tcW w:type="dxa" w:w="1512"/>
          </w:tcPr>
          <w:p>
            <w:r>
              <w:rPr>
                <w:sz w:val="18"/>
              </w:rPr>
            </w:r>
            <w:r>
              <w:rPr>
                <w:rFonts w:ascii="Times New Roman" w:hAnsi="Times New Roman" w:eastAsia="宋体"/>
                <w:sz w:val="18"/>
              </w:rPr>
              <w:t>19.4%</w:t>
            </w:r>
          </w:p>
        </w:tc>
      </w:tr>
      <w:tr>
        <w:tc>
          <w:tcPr>
            <w:tcW w:type="dxa" w:w="1512"/>
          </w:tcPr>
          <w:p>
            <w:r>
              <w:rPr>
                <w:sz w:val="18"/>
              </w:rPr>
            </w:r>
            <w:r>
              <w:rPr>
                <w:rFonts w:ascii="Times New Roman" w:hAnsi="Times New Roman" w:eastAsia="宋体"/>
                <w:sz w:val="18"/>
              </w:rPr>
              <w:t>GPT-5.6-terra</w:t>
            </w:r>
          </w:p>
        </w:tc>
        <w:tc>
          <w:tcPr>
            <w:tcW w:type="dxa" w:w="1512"/>
          </w:tcPr>
          <w:p>
            <w:r>
              <w:rPr>
                <w:sz w:val="18"/>
              </w:rPr>
            </w:r>
            <w:r>
              <w:rPr>
                <w:rFonts w:ascii="Times New Roman" w:hAnsi="Times New Roman" w:eastAsia="宋体"/>
                <w:sz w:val="18"/>
              </w:rPr>
              <w:t>OpenAI</w:t>
            </w:r>
          </w:p>
        </w:tc>
        <w:tc>
          <w:tcPr>
            <w:tcW w:type="dxa" w:w="1512"/>
          </w:tcPr>
          <w:p>
            <w:r>
              <w:rPr>
                <w:sz w:val="18"/>
              </w:rPr>
            </w:r>
            <w:r>
              <w:rPr>
                <w:rFonts w:ascii="Times New Roman" w:hAnsi="Times New Roman" w:eastAsia="宋体"/>
                <w:sz w:val="18"/>
              </w:rPr>
              <w:t>63.4%</w:t>
            </w:r>
          </w:p>
        </w:tc>
        <w:tc>
          <w:tcPr>
            <w:tcW w:type="dxa" w:w="1512"/>
          </w:tcPr>
          <w:p>
            <w:r>
              <w:rPr>
                <w:sz w:val="18"/>
              </w:rPr>
            </w:r>
            <w:r>
              <w:rPr>
                <w:rFonts w:ascii="Times New Roman" w:hAnsi="Times New Roman" w:eastAsia="宋体"/>
                <w:sz w:val="18"/>
              </w:rPr>
              <w:t>84.1%</w:t>
            </w:r>
          </w:p>
        </w:tc>
        <w:tc>
          <w:tcPr>
            <w:tcW w:type="dxa" w:w="1512"/>
          </w:tcPr>
          <w:p>
            <w:r>
              <w:rPr>
                <w:sz w:val="18"/>
              </w:rPr>
            </w:r>
            <w:r>
              <w:rPr>
                <w:rFonts w:ascii="Times New Roman" w:hAnsi="Times New Roman" w:eastAsia="宋体"/>
                <w:sz w:val="18"/>
              </w:rPr>
              <w:t>24.6%</w:t>
            </w:r>
          </w:p>
        </w:tc>
        <w:tc>
          <w:tcPr>
            <w:tcW w:type="dxa" w:w="1512"/>
          </w:tcPr>
          <w:p>
            <w:r>
              <w:rPr>
                <w:sz w:val="18"/>
              </w:rPr>
            </w:r>
            <w:r>
              <w:rPr>
                <w:rFonts w:ascii="Times New Roman" w:hAnsi="Times New Roman" w:eastAsia="宋体"/>
                <w:sz w:val="18"/>
              </w:rPr>
              <w:t>23.9%</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63.0%</w:t>
            </w:r>
          </w:p>
        </w:tc>
        <w:tc>
          <w:tcPr>
            <w:tcW w:type="dxa" w:w="1512"/>
          </w:tcPr>
          <w:p>
            <w:r>
              <w:rPr>
                <w:sz w:val="18"/>
              </w:rPr>
            </w:r>
            <w:r>
              <w:rPr>
                <w:rFonts w:ascii="Times New Roman" w:hAnsi="Times New Roman" w:eastAsia="宋体"/>
                <w:sz w:val="18"/>
              </w:rPr>
              <w:t>84.0%</w:t>
            </w:r>
          </w:p>
        </w:tc>
        <w:tc>
          <w:tcPr>
            <w:tcW w:type="dxa" w:w="1512"/>
          </w:tcPr>
          <w:p>
            <w:r>
              <w:rPr>
                <w:sz w:val="18"/>
              </w:rPr>
            </w:r>
            <w:r>
              <w:rPr>
                <w:rFonts w:ascii="Times New Roman" w:hAnsi="Times New Roman" w:eastAsia="宋体"/>
                <w:sz w:val="18"/>
              </w:rPr>
              <w:t>25.0%</w:t>
            </w:r>
          </w:p>
        </w:tc>
        <w:tc>
          <w:tcPr>
            <w:tcW w:type="dxa" w:w="1512"/>
          </w:tcPr>
          <w:p>
            <w:r>
              <w:rPr>
                <w:sz w:val="18"/>
              </w:rPr>
            </w:r>
            <w:r>
              <w:rPr>
                <w:rFonts w:ascii="Times New Roman" w:hAnsi="Times New Roman" w:eastAsia="宋体"/>
                <w:sz w:val="18"/>
              </w:rPr>
              <w:t>24.3%</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47.0%</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52.2%</w:t>
            </w:r>
          </w:p>
        </w:tc>
        <w:tc>
          <w:tcPr>
            <w:tcW w:type="dxa" w:w="1512"/>
          </w:tcPr>
          <w:p>
            <w:r>
              <w:rPr>
                <w:sz w:val="18"/>
              </w:rPr>
            </w:r>
            <w:r>
              <w:rPr>
                <w:rFonts w:ascii="Times New Roman" w:hAnsi="Times New Roman" w:eastAsia="宋体"/>
                <w:sz w:val="18"/>
              </w:rPr>
              <w:t>1.6%</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47.4%</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51.8%</w:t>
            </w:r>
          </w:p>
        </w:tc>
        <w:tc>
          <w:tcPr>
            <w:tcW w:type="dxa" w:w="1512"/>
          </w:tcPr>
          <w:p>
            <w:r>
              <w:rPr>
                <w:sz w:val="18"/>
              </w:rPr>
            </w:r>
            <w:r>
              <w:rPr>
                <w:rFonts w:ascii="Times New Roman" w:hAnsi="Times New Roman" w:eastAsia="宋体"/>
                <w:sz w:val="18"/>
              </w:rPr>
              <w:t>1.6%</w:t>
            </w:r>
          </w:p>
        </w:tc>
      </w:tr>
    </w:tbl>
    <w:p>
      <w:pPr>
        <w:spacing w:line="312" w:lineRule="auto"/>
      </w:pPr>
      <w:r>
        <w:rPr>
          <w:rFonts w:ascii="Times New Roman" w:hAnsi="Times New Roman" w:eastAsia="宋体"/>
          <w:b/>
        </w:rPr>
        <w:t>发现 7（国内发现国际成立——且更锐利）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（80.2%，比最佳国内模型高 6.8 pp；McNemar p = 1.5×10⁻³）且弃权率最低——但代价是 17.4% 的良性假阳性，与 V4-pro（24.3%）、MiMo（19.4%）同属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：97.4% 条件准确率、FP 3.6% [95% CI 1.9–6.8]——其假阳性率与 Kimi（2.8% [1.4–5.7]）统计不可区分，全对全与 Qwen 打平（McNemar p = 1.0）且高于 Kimi（p = 5×10⁻⁴）。发现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（63.4%，显著低于 Qwen：p = 1.2×10⁻⁷）——能力既不随国籍也不随假定价格档流动，强化了审计的核心信息：模型选择必须基于实测盲测证据而非厂商声誉。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10.6% vs Claude 24.2%；FP 17.4% vs 3.6%）。保守/激进归属因此不是提示词不对称的伪影。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4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于同一 500 子集）使 Gemini 总体第一（80.2%）并显示保守/激进二分法跨生态成立。这些数字显著低于未盲法报告的专家级一致性（AI-CURA,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全对全领先但 17.4% 假阳性（激进阵营），Claude 以 97.4% 条件准确率配 3.6% FP（保守阵营，风格与 Kimi 一致）。行为风格——而非厂商、国籍或价格档——才是有效的选择标准。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成本审计（30 变异 × 6 模型，API 报告用量）：推理模型多产生 13–21 倍输出 token（思维链按补全计费），每变异成本跨度 41 倍（MiMo ¥0.041 vs chat ¥0.001）、延迟跨度 29 倍（65.9 s vs 2.3 s）——却未换来准确率、稳定性或安全（22–28% 良性→致病假阳性）。(vii)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作厂商内代际对照）。国际覆盖另在同一测试集前 500 变异上评估三个外国旗舰（同变异同提示词）：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31,500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：概念化、调查、数据管理、验证、初稿撰写。</w:t>
      </w:r>
    </w:p>
    <w:p>
      <w:pPr>
        <w:spacing w:line="312" w:lineRule="auto"/>
      </w:pPr>
      <w:r>
        <w:rPr>
          <w:rFonts w:ascii="Times New Roman" w:hAnsi="Times New Roman" w:eastAsia="宋体"/>
          <w:b/>
        </w:rPr>
        <w:t>张凯</w:t>
      </w:r>
      <w:r>
        <w:rPr>
          <w:rFonts w:ascii="Times New Roman" w:hAnsi="Times New Roman" w:eastAsia="宋体"/>
        </w:rPr>
        <w:t>：方法论、软件、形式分析、可视化、指导、审阅与编辑。全体作者阅读并批准了最终稿。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pPr>
        <w:spacing w:line="312" w:lineRule="auto"/>
      </w:pPr>
      <w:r>
        <w:rPr>
          <w:rFonts w:ascii="Times New Roman" w:hAnsi="Times New Roman" w:eastAsia="宋体"/>
          <w:b/>
        </w:rPr>
        <w:t>图 4.</w:t>
      </w:r>
      <w:r>
        <w:rPr>
          <w:rFonts w:ascii="Times New Roman" w:hAnsi="Times New Roman" w:eastAsia="宋体"/>
        </w:rPr>
        <w:t xml:space="preserve"> 成本-准确率权衡。每变异成本（对数轴）vs 全对全；气泡大小为延迟。</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每变异 token 用量、成本、延迟（n=30×6）</w:t>
      </w:r>
    </w:p>
    <w:p>
      <w:pPr>
        <w:spacing w:line="312" w:lineRule="auto"/>
      </w:pPr>
      <w:r>
        <w:rPr>
          <w:rFonts w:ascii="Times New Roman" w:hAnsi="Times New Roman" w:eastAsia="宋体"/>
        </w:rPr>
        <w:t xml:space="preserve">- </w:t>
      </w:r>
      <w:r>
        <w:rPr>
          <w:rFonts w:ascii="Times New Roman" w:hAnsi="Times New Roman" w:eastAsia="宋体"/>
          <w:b/>
        </w:rPr>
        <w:t>表 S3</w:t>
      </w:r>
      <w:r>
        <w:rPr>
          <w:rFonts w:ascii="Times New Roman" w:hAnsi="Times New Roman" w:eastAsia="宋体"/>
        </w:rPr>
        <w:t xml:space="preserve"> 同一 500 子集九模型对比</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228321"/>
            <wp:docPr id="1" name="Picture 1"/>
            <wp:cNvGraphicFramePr>
              <a:graphicFrameLocks noChangeAspect="1"/>
            </wp:cNvGraphicFramePr>
            <a:graphic>
              <a:graphicData uri="http://schemas.openxmlformats.org/drawingml/2006/picture">
                <pic:pic>
                  <pic:nvPicPr>
                    <pic:cNvPr id="0" name="fig1_JGG.png"/>
                    <pic:cNvPicPr/>
                  </pic:nvPicPr>
                  <pic:blipFill>
                    <a:blip r:embed="rId9"/>
                    <a:stretch>
                      <a:fillRect/>
                    </a:stretch>
                  </pic:blipFill>
                  <pic:spPr>
                    <a:xfrm>
                      <a:off x="0" y="0"/>
                      <a:ext cx="5760000" cy="2228321"/>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2065752"/>
            <wp:docPr id="2" name="Picture 2"/>
            <wp:cNvGraphicFramePr>
              <a:graphicFrameLocks noChangeAspect="1"/>
            </wp:cNvGraphicFramePr>
            <a:graphic>
              <a:graphicData uri="http://schemas.openxmlformats.org/drawingml/2006/picture">
                <pic:pic>
                  <pic:nvPicPr>
                    <pic:cNvPr id="0" name="fig2_JGG.png"/>
                    <pic:cNvPicPr/>
                  </pic:nvPicPr>
                  <pic:blipFill>
                    <a:blip r:embed="rId10"/>
                    <a:stretch>
                      <a:fillRect/>
                    </a:stretch>
                  </pic:blipFill>
                  <pic:spPr>
                    <a:xfrm>
                      <a:off x="0" y="0"/>
                      <a:ext cx="5760000" cy="2065752"/>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152273"/>
            <wp:docPr id="3" name="Picture 3"/>
            <wp:cNvGraphicFramePr>
              <a:graphicFrameLocks noChangeAspect="1"/>
            </wp:cNvGraphicFramePr>
            <a:graphic>
              <a:graphicData uri="http://schemas.openxmlformats.org/drawingml/2006/picture">
                <pic:pic>
                  <pic:nvPicPr>
                    <pic:cNvPr id="0" name="fig3_JGG.png"/>
                    <pic:cNvPicPr/>
                  </pic:nvPicPr>
                  <pic:blipFill>
                    <a:blip r:embed="rId11"/>
                    <a:stretch>
                      <a:fillRect/>
                    </a:stretch>
                  </pic:blipFill>
                  <pic:spPr>
                    <a:xfrm>
                      <a:off x="0" y="0"/>
                      <a:ext cx="5760000" cy="2152273"/>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p>
      <w:r>
        <w:br w:type="page"/>
      </w:r>
    </w:p>
    <w:p>
      <w:r>
        <w:drawing>
          <wp:inline xmlns:a="http://schemas.openxmlformats.org/drawingml/2006/main" xmlns:pic="http://schemas.openxmlformats.org/drawingml/2006/picture">
            <wp:extent cx="5760000" cy="4286091"/>
            <wp:docPr id="4" name="Picture 4"/>
            <wp:cNvGraphicFramePr>
              <a:graphicFrameLocks noChangeAspect="1"/>
            </wp:cNvGraphicFramePr>
            <a:graphic>
              <a:graphicData uri="http://schemas.openxmlformats.org/drawingml/2006/picture">
                <pic:pic>
                  <pic:nvPicPr>
                    <pic:cNvPr id="0" name="fig4_JGG.png"/>
                    <pic:cNvPicPr/>
                  </pic:nvPicPr>
                  <pic:blipFill>
                    <a:blip r:embed="rId12"/>
                    <a:stretch>
                      <a:fillRect/>
                    </a:stretch>
                  </pic:blipFill>
                  <pic:spPr>
                    <a:xfrm>
                      <a:off x="0" y="0"/>
                      <a:ext cx="5760000" cy="4286091"/>
                    </a:xfrm>
                    <a:prstGeom prst="rect"/>
                  </pic:spPr>
                </pic:pic>
              </a:graphicData>
            </a:graphic>
          </wp:inline>
        </w:drawing>
      </w:r>
    </w:p>
    <w:p>
      <w:r>
        <w:rPr>
          <w:rFonts w:ascii="Times New Roman" w:hAnsi="Times New Roman" w:eastAsia="宋体"/>
          <w:sz w:val="18"/>
        </w:rPr>
        <w:t>图 4. 成本-准确率权衡。每变异成本（对数轴）vs 全对全准确率；气泡大小为延迟。推理型模型（紫）占据贵且慢象限却无准确率或安全性收益。</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