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：宋兵¹、张凯²,*（¹广州医科大学附属第三医院；²广东交通职业技术学院）</w:t>
      </w:r>
    </w:p>
    <w:p>
      <w:pPr>
        <w:spacing w:line="312" w:lineRule="auto"/>
      </w:pPr>
      <w:r>
        <w:rPr>
          <w:rFonts w:ascii="Times New Roman" w:hAnsi="Times New Roman" w:eastAsia="宋体"/>
          <w:b/>
        </w:rPr>
        <w:t>通讯作者</w:t>
      </w:r>
      <w:r>
        <w:rPr>
          <w:rFonts w:ascii="Times New Roman" w:hAnsi="Times New Roman" w:eastAsia="宋体"/>
        </w:rPr>
        <w:t>：张凯 · zhangkai@gdcp.edu.cn</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5，同一批 500 变异子集），并在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国际领先（80.2%）；Claude 以 97.4% 表态准确率配 3.6%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5（部分头条成绩是"读名"）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4（推理模型不确定）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国际扩展：同一 500 变异子集上的三个外国旗舰</w:t>
      </w:r>
    </w:p>
    <w:p>
      <w:pPr>
        <w:spacing w:line="312" w:lineRule="auto"/>
      </w:pPr>
      <w:r>
        <w:rPr>
          <w:rFonts w:ascii="Times New Roman" w:hAnsi="Times New Roman" w:eastAsia="宋体"/>
        </w:rPr>
        <w:t>为检验国内发现是否跨训练生态成立，我们在同一时间盲法测试集的</w:t>
      </w:r>
      <w:r>
        <w:rPr>
          <w:rFonts w:ascii="Times New Roman" w:hAnsi="Times New Roman" w:eastAsia="宋体"/>
          <w:b/>
        </w:rPr>
        <w:t>前 500 个变异</w:t>
      </w:r>
      <w:r>
        <w:rPr>
          <w:rFonts w:ascii="Times New Roman" w:hAnsi="Times New Roman" w:eastAsia="宋体"/>
        </w:rPr>
        <w:t>上评估了 Gemini 3 Flash、GPT-5.6-terra 与 Claude Sonnet 5（相同提示词；三者统一加研究性 system prompt，见方法）。</w:t>
      </w:r>
    </w:p>
    <w:p>
      <w:pPr>
        <w:spacing w:line="312" w:lineRule="auto"/>
      </w:pPr>
      <w:r>
        <w:rPr>
          <w:rFonts w:ascii="Times New Roman" w:hAnsi="Times New Roman" w:eastAsia="宋体"/>
          <w:b/>
        </w:rPr>
        <w:t>表 S3. 同一 500 变异子集九模型对比</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条件</w:t>
            </w:r>
          </w:p>
        </w:tc>
        <w:tc>
          <w:tcPr>
            <w:tcW w:type="dxa" w:w="1512"/>
          </w:tcPr>
          <w:p>
            <w:r>
              <w:rPr>
                <w:b/>
                <w:sz w:val="18"/>
              </w:rPr>
            </w:r>
            <w:r>
              <w:rPr>
                <w:rFonts w:ascii="Times New Roman" w:hAnsi="Times New Roman" w:eastAsia="宋体"/>
                <w:b/>
                <w:sz w:val="18"/>
              </w:rPr>
              <w:t>弃权</w:t>
            </w:r>
          </w:p>
        </w:tc>
        <w:tc>
          <w:tcPr>
            <w:tcW w:type="dxa" w:w="1512"/>
          </w:tcPr>
          <w:p>
            <w:r>
              <w:rPr>
                <w:b/>
                <w:sz w:val="18"/>
              </w:rPr>
            </w:r>
            <w:r>
              <w:rPr>
                <w:rFonts w:ascii="Times New Roman" w:hAnsi="Times New Roman" w:eastAsia="宋体"/>
                <w:b/>
                <w:sz w:val="18"/>
              </w:rPr>
              <w:t>良性→致病 FP</w:t>
            </w:r>
          </w:p>
        </w:tc>
      </w:tr>
      <w:tr>
        <w:tc>
          <w:tcPr>
            <w:tcW w:type="dxa" w:w="1512"/>
          </w:tcPr>
          <w:p>
            <w:r>
              <w:rPr>
                <w:sz w:val="18"/>
              </w:rPr>
            </w:r>
            <w:r>
              <w:rPr>
                <w:rFonts w:ascii="Times New Roman" w:hAnsi="Times New Roman" w:eastAsia="宋体"/>
                <w:sz w:val="18"/>
              </w:rPr>
              <w:t>Gemini 3 Flash</w:t>
            </w:r>
          </w:p>
        </w:tc>
        <w:tc>
          <w:tcPr>
            <w:tcW w:type="dxa" w:w="1512"/>
          </w:tcPr>
          <w:p>
            <w:r>
              <w:rPr>
                <w:sz w:val="18"/>
              </w:rPr>
            </w:r>
            <w:r>
              <w:rPr>
                <w:rFonts w:ascii="Times New Roman" w:hAnsi="Times New Roman" w:eastAsia="宋体"/>
                <w:sz w:val="18"/>
              </w:rPr>
              <w:t>Google</w:t>
            </w:r>
          </w:p>
        </w:tc>
        <w:tc>
          <w:tcPr>
            <w:tcW w:type="dxa" w:w="1512"/>
          </w:tcPr>
          <w:p>
            <w:r>
              <w:rPr>
                <w:sz w:val="18"/>
              </w:rPr>
            </w:r>
            <w:r>
              <w:rPr>
                <w:rFonts w:ascii="Times New Roman" w:hAnsi="Times New Roman" w:eastAsia="宋体"/>
                <w:b/>
                <w:sz w:val="18"/>
              </w:rPr>
              <w:t>80.2%</w:t>
            </w:r>
          </w:p>
        </w:tc>
        <w:tc>
          <w:tcPr>
            <w:tcW w:type="dxa" w:w="1512"/>
          </w:tcPr>
          <w:p>
            <w:r>
              <w:rPr>
                <w:sz w:val="18"/>
              </w:rPr>
            </w:r>
            <w:r>
              <w:rPr>
                <w:rFonts w:ascii="Times New Roman" w:hAnsi="Times New Roman" w:eastAsia="宋体"/>
                <w:sz w:val="18"/>
              </w:rPr>
              <w:t>89.7%</w:t>
            </w:r>
          </w:p>
        </w:tc>
        <w:tc>
          <w:tcPr>
            <w:tcW w:type="dxa" w:w="1512"/>
          </w:tcPr>
          <w:p>
            <w:r>
              <w:rPr>
                <w:sz w:val="18"/>
              </w:rPr>
            </w:r>
            <w:r>
              <w:rPr>
                <w:rFonts w:ascii="Times New Roman" w:hAnsi="Times New Roman" w:eastAsia="宋体"/>
                <w:sz w:val="18"/>
              </w:rPr>
              <w:t>10.6%</w:t>
            </w:r>
          </w:p>
        </w:tc>
        <w:tc>
          <w:tcPr>
            <w:tcW w:type="dxa" w:w="1512"/>
          </w:tcPr>
          <w:p>
            <w:r>
              <w:rPr>
                <w:sz w:val="18"/>
              </w:rPr>
            </w:r>
            <w:r>
              <w:rPr>
                <w:rFonts w:ascii="Times New Roman" w:hAnsi="Times New Roman" w:eastAsia="宋体"/>
                <w:sz w:val="18"/>
              </w:rPr>
              <w:t>17.4%</w:t>
            </w:r>
          </w:p>
        </w:tc>
      </w:tr>
      <w:tr>
        <w:tc>
          <w:tcPr>
            <w:tcW w:type="dxa" w:w="1512"/>
          </w:tcPr>
          <w:p>
            <w:r>
              <w:rPr>
                <w:sz w:val="18"/>
              </w:rPr>
            </w:r>
            <w:r>
              <w:rPr>
                <w:rFonts w:ascii="Times New Roman" w:hAnsi="Times New Roman" w:eastAsia="宋体"/>
                <w:sz w:val="18"/>
              </w:rPr>
              <w:t>Claude Sonnet 5</w:t>
            </w:r>
          </w:p>
        </w:tc>
        <w:tc>
          <w:tcPr>
            <w:tcW w:type="dxa" w:w="1512"/>
          </w:tcPr>
          <w:p>
            <w:r>
              <w:rPr>
                <w:sz w:val="18"/>
              </w:rPr>
            </w:r>
            <w:r>
              <w:rPr>
                <w:rFonts w:ascii="Times New Roman" w:hAnsi="Times New Roman" w:eastAsia="宋体"/>
                <w:sz w:val="18"/>
              </w:rPr>
              <w:t>Anthropic</w:t>
            </w:r>
          </w:p>
        </w:tc>
        <w:tc>
          <w:tcPr>
            <w:tcW w:type="dxa" w:w="1512"/>
          </w:tcPr>
          <w:p>
            <w:r>
              <w:rPr>
                <w:sz w:val="18"/>
              </w:rPr>
            </w:r>
            <w:r>
              <w:rPr>
                <w:rFonts w:ascii="Times New Roman" w:hAnsi="Times New Roman" w:eastAsia="宋体"/>
                <w:sz w:val="18"/>
              </w:rPr>
              <w:t>73.8%</w:t>
            </w:r>
          </w:p>
        </w:tc>
        <w:tc>
          <w:tcPr>
            <w:tcW w:type="dxa" w:w="1512"/>
          </w:tcPr>
          <w:p>
            <w:r>
              <w:rPr>
                <w:sz w:val="18"/>
              </w:rPr>
            </w:r>
            <w:r>
              <w:rPr>
                <w:rFonts w:ascii="Times New Roman" w:hAnsi="Times New Roman" w:eastAsia="宋体"/>
                <w:sz w:val="18"/>
              </w:rPr>
              <w:t>97.4%</w:t>
            </w:r>
          </w:p>
        </w:tc>
        <w:tc>
          <w:tcPr>
            <w:tcW w:type="dxa" w:w="1512"/>
          </w:tcPr>
          <w:p>
            <w:r>
              <w:rPr>
                <w:sz w:val="18"/>
              </w:rPr>
            </w:r>
            <w:r>
              <w:rPr>
                <w:rFonts w:ascii="Times New Roman" w:hAnsi="Times New Roman" w:eastAsia="宋体"/>
                <w:sz w:val="18"/>
              </w:rPr>
              <w:t>24.2%</w:t>
            </w:r>
          </w:p>
        </w:tc>
        <w:tc>
          <w:tcPr>
            <w:tcW w:type="dxa" w:w="1512"/>
          </w:tcPr>
          <w:p>
            <w:r>
              <w:rPr>
                <w:sz w:val="18"/>
              </w:rPr>
            </w:r>
            <w:r>
              <w:rPr>
                <w:rFonts w:ascii="Times New Roman" w:hAnsi="Times New Roman" w:eastAsia="宋体"/>
                <w:b/>
                <w:sz w:val="18"/>
              </w:rPr>
              <w:t>3.6%</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sz w:val="18"/>
              </w:rPr>
              <w:t>73.4%</w:t>
            </w:r>
          </w:p>
        </w:tc>
        <w:tc>
          <w:tcPr>
            <w:tcW w:type="dxa" w:w="1512"/>
          </w:tcPr>
          <w:p>
            <w:r>
              <w:rPr>
                <w:sz w:val="18"/>
              </w:rPr>
            </w:r>
            <w:r>
              <w:rPr>
                <w:rFonts w:ascii="Times New Roman" w:hAnsi="Times New Roman" w:eastAsia="宋体"/>
                <w:sz w:val="18"/>
              </w:rPr>
              <w:t>96.1%</w:t>
            </w:r>
          </w:p>
        </w:tc>
        <w:tc>
          <w:tcPr>
            <w:tcW w:type="dxa" w:w="1512"/>
          </w:tcPr>
          <w:p>
            <w:r>
              <w:rPr>
                <w:sz w:val="18"/>
              </w:rPr>
            </w:r>
            <w:r>
              <w:rPr>
                <w:rFonts w:ascii="Times New Roman" w:hAnsi="Times New Roman" w:eastAsia="宋体"/>
                <w:sz w:val="18"/>
              </w:rPr>
              <w:t>23.6%</w:t>
            </w:r>
          </w:p>
        </w:tc>
        <w:tc>
          <w:tcPr>
            <w:tcW w:type="dxa" w:w="1512"/>
          </w:tcPr>
          <w:p>
            <w:r>
              <w:rPr>
                <w:sz w:val="18"/>
              </w:rPr>
            </w:r>
            <w:r>
              <w:rPr>
                <w:rFonts w:ascii="Times New Roman" w:hAnsi="Times New Roman" w:eastAsia="宋体"/>
                <w:sz w:val="18"/>
              </w:rPr>
              <w:t>5.7%</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67.8%</w:t>
            </w:r>
          </w:p>
        </w:tc>
        <w:tc>
          <w:tcPr>
            <w:tcW w:type="dxa" w:w="1512"/>
          </w:tcPr>
          <w:p>
            <w:r>
              <w:rPr>
                <w:sz w:val="18"/>
              </w:rPr>
            </w:r>
            <w:r>
              <w:rPr>
                <w:rFonts w:ascii="Times New Roman" w:hAnsi="Times New Roman" w:eastAsia="宋体"/>
                <w:sz w:val="18"/>
              </w:rPr>
              <w:t>98.0%</w:t>
            </w:r>
          </w:p>
        </w:tc>
        <w:tc>
          <w:tcPr>
            <w:tcW w:type="dxa" w:w="1512"/>
          </w:tcPr>
          <w:p>
            <w:r>
              <w:rPr>
                <w:sz w:val="18"/>
              </w:rPr>
            </w:r>
            <w:r>
              <w:rPr>
                <w:rFonts w:ascii="Times New Roman" w:hAnsi="Times New Roman" w:eastAsia="宋体"/>
                <w:sz w:val="18"/>
              </w:rPr>
              <w:t>30.8%</w:t>
            </w:r>
          </w:p>
        </w:tc>
        <w:tc>
          <w:tcPr>
            <w:tcW w:type="dxa" w:w="1512"/>
          </w:tcPr>
          <w:p>
            <w:r>
              <w:rPr>
                <w:sz w:val="18"/>
              </w:rPr>
            </w:r>
            <w:r>
              <w:rPr>
                <w:rFonts w:ascii="Times New Roman" w:hAnsi="Times New Roman" w:eastAsia="宋体"/>
                <w:sz w:val="18"/>
              </w:rPr>
              <w:t>2.8%</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66.6%</w:t>
            </w:r>
          </w:p>
        </w:tc>
        <w:tc>
          <w:tcPr>
            <w:tcW w:type="dxa" w:w="1512"/>
          </w:tcPr>
          <w:p>
            <w:r>
              <w:rPr>
                <w:sz w:val="18"/>
              </w:rPr>
            </w:r>
            <w:r>
              <w:rPr>
                <w:rFonts w:ascii="Times New Roman" w:hAnsi="Times New Roman" w:eastAsia="宋体"/>
                <w:sz w:val="18"/>
              </w:rPr>
              <w:t>86.9%</w:t>
            </w:r>
          </w:p>
        </w:tc>
        <w:tc>
          <w:tcPr>
            <w:tcW w:type="dxa" w:w="1512"/>
          </w:tcPr>
          <w:p>
            <w:r>
              <w:rPr>
                <w:sz w:val="18"/>
              </w:rPr>
            </w:r>
            <w:r>
              <w:rPr>
                <w:rFonts w:ascii="Times New Roman" w:hAnsi="Times New Roman" w:eastAsia="宋体"/>
                <w:sz w:val="18"/>
              </w:rPr>
              <w:t>23.4%</w:t>
            </w:r>
          </w:p>
        </w:tc>
        <w:tc>
          <w:tcPr>
            <w:tcW w:type="dxa" w:w="1512"/>
          </w:tcPr>
          <w:p>
            <w:r>
              <w:rPr>
                <w:sz w:val="18"/>
              </w:rPr>
            </w:r>
            <w:r>
              <w:rPr>
                <w:rFonts w:ascii="Times New Roman" w:hAnsi="Times New Roman" w:eastAsia="宋体"/>
                <w:sz w:val="18"/>
              </w:rPr>
              <w:t>19.4%</w:t>
            </w:r>
          </w:p>
        </w:tc>
      </w:tr>
      <w:tr>
        <w:tc>
          <w:tcPr>
            <w:tcW w:type="dxa" w:w="1512"/>
          </w:tcPr>
          <w:p>
            <w:r>
              <w:rPr>
                <w:sz w:val="18"/>
              </w:rPr>
            </w:r>
            <w:r>
              <w:rPr>
                <w:rFonts w:ascii="Times New Roman" w:hAnsi="Times New Roman" w:eastAsia="宋体"/>
                <w:sz w:val="18"/>
              </w:rPr>
              <w:t>GPT-5.6-terra</w:t>
            </w:r>
          </w:p>
        </w:tc>
        <w:tc>
          <w:tcPr>
            <w:tcW w:type="dxa" w:w="1512"/>
          </w:tcPr>
          <w:p>
            <w:r>
              <w:rPr>
                <w:sz w:val="18"/>
              </w:rPr>
            </w:r>
            <w:r>
              <w:rPr>
                <w:rFonts w:ascii="Times New Roman" w:hAnsi="Times New Roman" w:eastAsia="宋体"/>
                <w:sz w:val="18"/>
              </w:rPr>
              <w:t>OpenAI</w:t>
            </w:r>
          </w:p>
        </w:tc>
        <w:tc>
          <w:tcPr>
            <w:tcW w:type="dxa" w:w="1512"/>
          </w:tcPr>
          <w:p>
            <w:r>
              <w:rPr>
                <w:sz w:val="18"/>
              </w:rPr>
            </w:r>
            <w:r>
              <w:rPr>
                <w:rFonts w:ascii="Times New Roman" w:hAnsi="Times New Roman" w:eastAsia="宋体"/>
                <w:sz w:val="18"/>
              </w:rPr>
              <w:t>63.4%</w:t>
            </w:r>
          </w:p>
        </w:tc>
        <w:tc>
          <w:tcPr>
            <w:tcW w:type="dxa" w:w="1512"/>
          </w:tcPr>
          <w:p>
            <w:r>
              <w:rPr>
                <w:sz w:val="18"/>
              </w:rPr>
            </w:r>
            <w:r>
              <w:rPr>
                <w:rFonts w:ascii="Times New Roman" w:hAnsi="Times New Roman" w:eastAsia="宋体"/>
                <w:sz w:val="18"/>
              </w:rPr>
              <w:t>84.1%</w:t>
            </w:r>
          </w:p>
        </w:tc>
        <w:tc>
          <w:tcPr>
            <w:tcW w:type="dxa" w:w="1512"/>
          </w:tcPr>
          <w:p>
            <w:r>
              <w:rPr>
                <w:sz w:val="18"/>
              </w:rPr>
            </w:r>
            <w:r>
              <w:rPr>
                <w:rFonts w:ascii="Times New Roman" w:hAnsi="Times New Roman" w:eastAsia="宋体"/>
                <w:sz w:val="18"/>
              </w:rPr>
              <w:t>24.6%</w:t>
            </w:r>
          </w:p>
        </w:tc>
        <w:tc>
          <w:tcPr>
            <w:tcW w:type="dxa" w:w="1512"/>
          </w:tcPr>
          <w:p>
            <w:r>
              <w:rPr>
                <w:sz w:val="18"/>
              </w:rPr>
            </w:r>
            <w:r>
              <w:rPr>
                <w:rFonts w:ascii="Times New Roman" w:hAnsi="Times New Roman" w:eastAsia="宋体"/>
                <w:sz w:val="18"/>
              </w:rPr>
              <w:t>23.9%</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63.0%</w:t>
            </w:r>
          </w:p>
        </w:tc>
        <w:tc>
          <w:tcPr>
            <w:tcW w:type="dxa" w:w="1512"/>
          </w:tcPr>
          <w:p>
            <w:r>
              <w:rPr>
                <w:sz w:val="18"/>
              </w:rPr>
            </w:r>
            <w:r>
              <w:rPr>
                <w:rFonts w:ascii="Times New Roman" w:hAnsi="Times New Roman" w:eastAsia="宋体"/>
                <w:sz w:val="18"/>
              </w:rPr>
              <w:t>84.0%</w:t>
            </w:r>
          </w:p>
        </w:tc>
        <w:tc>
          <w:tcPr>
            <w:tcW w:type="dxa" w:w="1512"/>
          </w:tcPr>
          <w:p>
            <w:r>
              <w:rPr>
                <w:sz w:val="18"/>
              </w:rPr>
            </w:r>
            <w:r>
              <w:rPr>
                <w:rFonts w:ascii="Times New Roman" w:hAnsi="Times New Roman" w:eastAsia="宋体"/>
                <w:sz w:val="18"/>
              </w:rPr>
              <w:t>25.0%</w:t>
            </w:r>
          </w:p>
        </w:tc>
        <w:tc>
          <w:tcPr>
            <w:tcW w:type="dxa" w:w="1512"/>
          </w:tcPr>
          <w:p>
            <w:r>
              <w:rPr>
                <w:sz w:val="18"/>
              </w:rPr>
            </w:r>
            <w:r>
              <w:rPr>
                <w:rFonts w:ascii="Times New Roman" w:hAnsi="Times New Roman" w:eastAsia="宋体"/>
                <w:sz w:val="18"/>
              </w:rPr>
              <w:t>24.3%</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47.0%</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52.2%</w:t>
            </w:r>
          </w:p>
        </w:tc>
        <w:tc>
          <w:tcPr>
            <w:tcW w:type="dxa" w:w="1512"/>
          </w:tcPr>
          <w:p>
            <w:r>
              <w:rPr>
                <w:sz w:val="18"/>
              </w:rPr>
            </w:r>
            <w:r>
              <w:rPr>
                <w:rFonts w:ascii="Times New Roman" w:hAnsi="Times New Roman" w:eastAsia="宋体"/>
                <w:sz w:val="18"/>
              </w:rPr>
              <w:t>1.6%</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47.4%</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51.8%</w:t>
            </w:r>
          </w:p>
        </w:tc>
        <w:tc>
          <w:tcPr>
            <w:tcW w:type="dxa" w:w="1512"/>
          </w:tcPr>
          <w:p>
            <w:r>
              <w:rPr>
                <w:sz w:val="18"/>
              </w:rPr>
            </w:r>
            <w:r>
              <w:rPr>
                <w:rFonts w:ascii="Times New Roman" w:hAnsi="Times New Roman" w:eastAsia="宋体"/>
                <w:sz w:val="18"/>
              </w:rPr>
              <w:t>1.6%</w:t>
            </w:r>
          </w:p>
        </w:tc>
      </w:tr>
    </w:tbl>
    <w:p>
      <w:pPr>
        <w:spacing w:line="312" w:lineRule="auto"/>
      </w:pPr>
      <w:r>
        <w:rPr>
          <w:rFonts w:ascii="Times New Roman" w:hAnsi="Times New Roman" w:eastAsia="宋体"/>
          <w:b/>
        </w:rPr>
        <w:t>发现 6（国内发现国际成立——且更锐利）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（80.2%，比最佳国内模型高 6.8 pp；McNemar p = 1.5×10⁻³）且弃权率最低——但代价是 17.4% 的良性假阳性，与 V4-pro（24.3%）、MiMo（19.4%）同属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：97.4% 条件准确率、FP 3.6% [95% CI 1.9–6.8]——其假阳性率与 Kimi（2.8% [1.4–5.7]）统计不可区分，全对全与 Qwen 打平（McNemar p = 1.0）且高于 Kimi（p = 5×10⁻⁴）。发现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（63.4%，显著低于 Qwen：p = 1.2×10⁻⁷）——能力既不随国籍也不随假定价格档流动，强化了审计的核心信息：模型选择必须基于实测盲测证据而非厂商声誉。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10.6% vs Claude 24.2%；FP 17.4% vs 3.6%）。保守/激进归属因此不是提示词不对称的伪影。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4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于同一 500 子集）使 Gemini 总体第一（80.2%）并显示保守/激进二分法跨生态成立。这些数字显著低于未盲法报告的专家级一致性（AI-CURA,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全对全领先但 17.4% 假阳性（激进阵营），Claude 以 97.4% 条件准确率配 3.6% FP（保守阵营，风格与 Kimi 一致）。行为风格——而非厂商、国籍或价格档——才是有效的选择标准。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API 延迟跨模型 29 倍（单次 65.9 秒 vs 2.3 秒），是人群规模筛查的部署考量。(vii)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作厂商内代际对照）。国际覆盖另在同一测试集前 500 变异上评估三个外国旗舰（同变异同提示词）：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31,500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：概念化、调查、数据管理、验证、初稿撰写。</w:t>
      </w:r>
    </w:p>
    <w:p>
      <w:pPr>
        <w:spacing w:line="312" w:lineRule="auto"/>
      </w:pPr>
      <w:r>
        <w:rPr>
          <w:rFonts w:ascii="Times New Roman" w:hAnsi="Times New Roman" w:eastAsia="宋体"/>
          <w:b/>
        </w:rPr>
        <w:t>张凯</w:t>
      </w:r>
      <w:r>
        <w:rPr>
          <w:rFonts w:ascii="Times New Roman" w:hAnsi="Times New Roman" w:eastAsia="宋体"/>
        </w:rPr>
        <w:t>：方法论、软件、形式分析、可视化、指导、审阅与编辑。全体作者阅读并批准了最终稿。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同一 500 子集九模型对比</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228321"/>
            <wp:docPr id="1" name="Picture 1"/>
            <wp:cNvGraphicFramePr>
              <a:graphicFrameLocks noChangeAspect="1"/>
            </wp:cNvGraphicFramePr>
            <a:graphic>
              <a:graphicData uri="http://schemas.openxmlformats.org/drawingml/2006/picture">
                <pic:pic>
                  <pic:nvPicPr>
                    <pic:cNvPr id="0" name="fig1_JGG.png"/>
                    <pic:cNvPicPr/>
                  </pic:nvPicPr>
                  <pic:blipFill>
                    <a:blip r:embed="rId9"/>
                    <a:stretch>
                      <a:fillRect/>
                    </a:stretch>
                  </pic:blipFill>
                  <pic:spPr>
                    <a:xfrm>
                      <a:off x="0" y="0"/>
                      <a:ext cx="5760000" cy="2228321"/>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2065752"/>
            <wp:docPr id="2" name="Picture 2"/>
            <wp:cNvGraphicFramePr>
              <a:graphicFrameLocks noChangeAspect="1"/>
            </wp:cNvGraphicFramePr>
            <a:graphic>
              <a:graphicData uri="http://schemas.openxmlformats.org/drawingml/2006/picture">
                <pic:pic>
                  <pic:nvPicPr>
                    <pic:cNvPr id="0" name="fig2_JGG.png"/>
                    <pic:cNvPicPr/>
                  </pic:nvPicPr>
                  <pic:blipFill>
                    <a:blip r:embed="rId10"/>
                    <a:stretch>
                      <a:fillRect/>
                    </a:stretch>
                  </pic:blipFill>
                  <pic:spPr>
                    <a:xfrm>
                      <a:off x="0" y="0"/>
                      <a:ext cx="5760000" cy="2065752"/>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152273"/>
            <wp:docPr id="3" name="Picture 3"/>
            <wp:cNvGraphicFramePr>
              <a:graphicFrameLocks noChangeAspect="1"/>
            </wp:cNvGraphicFramePr>
            <a:graphic>
              <a:graphicData uri="http://schemas.openxmlformats.org/drawingml/2006/picture">
                <pic:pic>
                  <pic:nvPicPr>
                    <pic:cNvPr id="0" name="fig3_JGG.png"/>
                    <pic:cNvPicPr/>
                  </pic:nvPicPr>
                  <pic:blipFill>
                    <a:blip r:embed="rId11"/>
                    <a:stretch>
                      <a:fillRect/>
                    </a:stretch>
                  </pic:blipFill>
                  <pic:spPr>
                    <a:xfrm>
                      <a:off x="0" y="0"/>
                      <a:ext cx="5760000" cy="2152273"/>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