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Headline accuracy: 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98.3%</w:t>
            </w:r>
          </w:p>
        </w:tc>
        <w:tc>
          <w:tcPr>
            <w:tcW w:type="dxa" w:w="1440"/>
          </w:tcPr>
          <w:p>
            <w:r>
              <w:rPr>
                <w:sz w:val="18"/>
              </w:rPr>
            </w:r>
            <w:r>
              <w:rPr>
                <w:sz w:val="18"/>
              </w:rPr>
              <w:t>2,915</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(2,915 variants), conditional accuracy reaches 98.3%.</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4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P-side 645, B-side 252). Of these, 100 were also sampled into the main test set (Table 1, expert-panel stratum); to guarantee independence, Table S3 reports the </w:t>
      </w:r>
      <w:r>
        <w:rPr>
          <w:b/>
        </w:rPr>
        <w:t>800 exclusive variants</w:t>
      </w:r>
      <w:r>
        <w:t xml:space="preserve"> (797 evaluable; P: 550, B: 247).</w:t>
      </w:r>
    </w:p>
    <w:p>
      <w:r>
        <w:rPr>
          <w:b/>
        </w:rPr>
        <w:t>Table S3.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w:t>
      </w:r>
    </w:p>
    <w:p>
      <w:r>
        <w:t>(Fig. 3B):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3A) (reproducibility audit)</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5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International extension</w:t>
      </w:r>
    </w:p>
    <w:p>
      <w:r>
        <w:t>(Fig. 4): three foreign flagships at full scale</w:t>
      </w:r>
    </w:p>
    <w:p>
      <w:r>
        <w:t xml:space="preserve">To test whether the domestic findings generalize across training ecosystems, we evaluated Gemini 3 Flash, GPT-5.6-terra, and Claude Sonnet 5 on the </w:t>
      </w:r>
      <w:r>
        <w:rPr>
          <w:b/>
        </w:rPr>
        <w:t>complete temporally blinded test set</w:t>
      </w:r>
      <w:r>
        <w:t xml:space="preserve"> (5,000 variants each; identical prompts; research-context system prompt for all three; see Methods).</w:t>
      </w:r>
    </w:p>
    <w:p>
      <w:r>
        <w:rPr>
          <w:b/>
        </w:rPr>
        <w:t>Table S2. Nine-model comparison on the complete test set (n = 5,000 per model).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Vendor</w:t>
            </w:r>
          </w:p>
        </w:tc>
        <w:tc>
          <w:tcPr>
            <w:tcW w:type="dxa" w:w="1234"/>
          </w:tcPr>
          <w:p>
            <w:r>
              <w:rPr>
                <w:b/>
                <w:sz w:val="18"/>
              </w:rPr>
            </w:r>
            <w:r>
              <w:rPr>
                <w:b/>
                <w:sz w:val="18"/>
              </w:rPr>
              <w:t>All-inclusive</w:t>
            </w:r>
          </w:p>
        </w:tc>
        <w:tc>
          <w:tcPr>
            <w:tcW w:type="dxa" w:w="1234"/>
          </w:tcPr>
          <w:p>
            <w:r>
              <w:rPr>
                <w:b/>
                <w:sz w:val="18"/>
              </w:rPr>
            </w:r>
            <w:r>
              <w:rPr>
                <w:b/>
                <w:sz w:val="18"/>
              </w:rPr>
              <w:t>Conditional</w:t>
            </w:r>
          </w:p>
        </w:tc>
        <w:tc>
          <w:tcPr>
            <w:tcW w:type="dxa" w:w="1234"/>
          </w:tcPr>
          <w:p>
            <w:r>
              <w:rPr>
                <w:b/>
                <w:sz w:val="18"/>
              </w:rPr>
            </w:r>
            <w:r>
              <w:rPr>
                <w:b/>
                <w:sz w:val="18"/>
              </w:rPr>
              <w:t>Abstention</w:t>
            </w:r>
          </w:p>
        </w:tc>
        <w:tc>
          <w:tcPr>
            <w:tcW w:type="dxa" w:w="1234"/>
          </w:tcPr>
          <w:p>
            <w:r>
              <w:rPr>
                <w:b/>
                <w:sz w:val="18"/>
              </w:rPr>
            </w:r>
            <w:r>
              <w:rPr>
                <w:b/>
                <w:sz w:val="18"/>
              </w:rPr>
              <w:t>Benign→Pathogenic FP</w:t>
            </w:r>
          </w:p>
        </w:tc>
        <w:tc>
          <w:tcPr>
            <w:tcW w:type="dxa" w:w="1234"/>
          </w:tcPr>
          <w:p>
            <w:r>
              <w:rPr>
                <w:b/>
                <w:sz w:val="18"/>
              </w:rPr>
            </w:r>
            <w:r>
              <w:rPr>
                <w:b/>
                <w:sz w:val="18"/>
              </w:rPr>
              <w:t>Expert-panel (n=100)</w:t>
            </w:r>
          </w:p>
        </w:tc>
      </w:tr>
      <w:tr>
        <w:tc>
          <w:tcPr>
            <w:tcW w:type="dxa" w:w="1234"/>
          </w:tcPr>
          <w:p>
            <w:r>
              <w:rPr>
                <w:sz w:val="18"/>
              </w:rPr>
            </w:r>
            <w:r>
              <w:rPr>
                <w:sz w:val="18"/>
              </w:rPr>
              <w:t>Gemini 3 Flash</w:t>
            </w:r>
          </w:p>
        </w:tc>
        <w:tc>
          <w:tcPr>
            <w:tcW w:type="dxa" w:w="1234"/>
          </w:tcPr>
          <w:p>
            <w:r>
              <w:rPr>
                <w:sz w:val="18"/>
              </w:rPr>
            </w:r>
            <w:r>
              <w:rPr>
                <w:sz w:val="18"/>
              </w:rPr>
              <w:t>Google</w:t>
            </w:r>
          </w:p>
        </w:tc>
        <w:tc>
          <w:tcPr>
            <w:tcW w:type="dxa" w:w="1234"/>
          </w:tcPr>
          <w:p>
            <w:r>
              <w:rPr>
                <w:sz w:val="18"/>
              </w:rPr>
            </w:r>
            <w:r>
              <w:rPr>
                <w:b/>
                <w:sz w:val="18"/>
              </w:rPr>
              <w:t>76.5%</w:t>
            </w:r>
          </w:p>
        </w:tc>
        <w:tc>
          <w:tcPr>
            <w:tcW w:type="dxa" w:w="1234"/>
          </w:tcPr>
          <w:p>
            <w:r>
              <w:rPr>
                <w:sz w:val="18"/>
              </w:rPr>
            </w:r>
            <w:r>
              <w:rPr>
                <w:sz w:val="18"/>
              </w:rPr>
              <w:t>84.3%</w:t>
            </w:r>
          </w:p>
        </w:tc>
        <w:tc>
          <w:tcPr>
            <w:tcW w:type="dxa" w:w="1234"/>
          </w:tcPr>
          <w:p>
            <w:r>
              <w:rPr>
                <w:sz w:val="18"/>
              </w:rPr>
            </w:r>
            <w:r>
              <w:rPr>
                <w:sz w:val="18"/>
              </w:rPr>
              <w:t>9.2%</w:t>
            </w:r>
          </w:p>
        </w:tc>
        <w:tc>
          <w:tcPr>
            <w:tcW w:type="dxa" w:w="1234"/>
          </w:tcPr>
          <w:p>
            <w:r>
              <w:rPr>
                <w:sz w:val="18"/>
              </w:rPr>
            </w:r>
            <w:r>
              <w:rPr>
                <w:sz w:val="18"/>
              </w:rPr>
              <w:t>27.8%</w:t>
            </w:r>
          </w:p>
        </w:tc>
        <w:tc>
          <w:tcPr>
            <w:tcW w:type="dxa" w:w="1234"/>
          </w:tcPr>
          <w:p>
            <w:r>
              <w:rPr>
                <w:sz w:val="18"/>
              </w:rPr>
            </w:r>
            <w:r>
              <w:rPr>
                <w:sz w:val="18"/>
              </w:rPr>
              <w:t>91%</w:t>
            </w:r>
          </w:p>
        </w:tc>
      </w:tr>
      <w:tr>
        <w:tc>
          <w:tcPr>
            <w:tcW w:type="dxa" w:w="1234"/>
          </w:tcPr>
          <w:p>
            <w:r>
              <w:rPr>
                <w:sz w:val="18"/>
              </w:rPr>
            </w:r>
            <w:r>
              <w:rPr>
                <w:sz w:val="18"/>
              </w:rPr>
              <w:t>Qwen3.7-max</w:t>
            </w:r>
          </w:p>
        </w:tc>
        <w:tc>
          <w:tcPr>
            <w:tcW w:type="dxa" w:w="1234"/>
          </w:tcPr>
          <w:p>
            <w:r>
              <w:rPr>
                <w:sz w:val="18"/>
              </w:rPr>
            </w:r>
            <w:r>
              <w:rPr>
                <w:sz w:val="18"/>
              </w:rPr>
              <w:t>Alibaba</w:t>
            </w:r>
          </w:p>
        </w:tc>
        <w:tc>
          <w:tcPr>
            <w:tcW w:type="dxa" w:w="1234"/>
          </w:tcPr>
          <w:p>
            <w:r>
              <w:rPr>
                <w:sz w:val="18"/>
              </w:rPr>
            </w:r>
            <w:r>
              <w:rPr>
                <w:sz w:val="18"/>
              </w:rPr>
              <w:t>71.6%</w:t>
            </w:r>
          </w:p>
        </w:tc>
        <w:tc>
          <w:tcPr>
            <w:tcW w:type="dxa" w:w="1234"/>
          </w:tcPr>
          <w:p>
            <w:r>
              <w:rPr>
                <w:sz w:val="18"/>
              </w:rPr>
            </w:r>
            <w:r>
              <w:rPr>
                <w:sz w:val="18"/>
              </w:rPr>
              <w:t>96.4%</w:t>
            </w:r>
          </w:p>
        </w:tc>
        <w:tc>
          <w:tcPr>
            <w:tcW w:type="dxa" w:w="1234"/>
          </w:tcPr>
          <w:p>
            <w:r>
              <w:rPr>
                <w:sz w:val="18"/>
              </w:rPr>
            </w:r>
            <w:r>
              <w:rPr>
                <w:sz w:val="18"/>
              </w:rPr>
              <w:t>25.7%</w:t>
            </w:r>
          </w:p>
        </w:tc>
        <w:tc>
          <w:tcPr>
            <w:tcW w:type="dxa" w:w="1234"/>
          </w:tcPr>
          <w:p>
            <w:r>
              <w:rPr>
                <w:sz w:val="18"/>
              </w:rPr>
            </w:r>
            <w:r>
              <w:rPr>
                <w:sz w:val="18"/>
              </w:rPr>
              <w:t>4.7%</w:t>
            </w:r>
          </w:p>
        </w:tc>
        <w:tc>
          <w:tcPr>
            <w:tcW w:type="dxa" w:w="1234"/>
          </w:tcPr>
          <w:p>
            <w:r>
              <w:rPr>
                <w:sz w:val="18"/>
              </w:rPr>
            </w:r>
            <w:r>
              <w:rPr>
                <w:sz w:val="18"/>
              </w:rPr>
              <w:t>86%</w:t>
            </w:r>
          </w:p>
        </w:tc>
      </w:tr>
      <w:tr>
        <w:tc>
          <w:tcPr>
            <w:tcW w:type="dxa" w:w="1234"/>
          </w:tcPr>
          <w:p>
            <w:r>
              <w:rPr>
                <w:sz w:val="18"/>
              </w:rPr>
            </w:r>
            <w:r>
              <w:rPr>
                <w:sz w:val="18"/>
              </w:rPr>
              <w:t>Claude Sonnet 5</w:t>
            </w:r>
          </w:p>
        </w:tc>
        <w:tc>
          <w:tcPr>
            <w:tcW w:type="dxa" w:w="1234"/>
          </w:tcPr>
          <w:p>
            <w:r>
              <w:rPr>
                <w:sz w:val="18"/>
              </w:rPr>
            </w:r>
            <w:r>
              <w:rPr>
                <w:sz w:val="18"/>
              </w:rPr>
              <w:t>Anthropic</w:t>
            </w:r>
          </w:p>
        </w:tc>
        <w:tc>
          <w:tcPr>
            <w:tcW w:type="dxa" w:w="1234"/>
          </w:tcPr>
          <w:p>
            <w:r>
              <w:rPr>
                <w:sz w:val="18"/>
              </w:rPr>
            </w:r>
            <w:r>
              <w:rPr>
                <w:sz w:val="18"/>
              </w:rPr>
              <w:t>68.5%</w:t>
            </w:r>
          </w:p>
        </w:tc>
        <w:tc>
          <w:tcPr>
            <w:tcW w:type="dxa" w:w="1234"/>
          </w:tcPr>
          <w:p>
            <w:r>
              <w:rPr>
                <w:sz w:val="18"/>
              </w:rPr>
            </w:r>
            <w:r>
              <w:rPr>
                <w:sz w:val="18"/>
              </w:rPr>
              <w:t>97.0%</w:t>
            </w:r>
          </w:p>
        </w:tc>
        <w:tc>
          <w:tcPr>
            <w:tcW w:type="dxa" w:w="1234"/>
          </w:tcPr>
          <w:p>
            <w:r>
              <w:rPr>
                <w:sz w:val="18"/>
              </w:rPr>
            </w:r>
            <w:r>
              <w:rPr>
                <w:sz w:val="18"/>
              </w:rPr>
              <w:t>29.3%</w:t>
            </w:r>
          </w:p>
        </w:tc>
        <w:tc>
          <w:tcPr>
            <w:tcW w:type="dxa" w:w="1234"/>
          </w:tcPr>
          <w:p>
            <w:r>
              <w:rPr>
                <w:sz w:val="18"/>
              </w:rPr>
            </w:r>
            <w:r>
              <w:rPr>
                <w:b/>
                <w:sz w:val="18"/>
              </w:rPr>
              <w:t>3.9%</w:t>
            </w:r>
          </w:p>
        </w:tc>
        <w:tc>
          <w:tcPr>
            <w:tcW w:type="dxa" w:w="1234"/>
          </w:tcPr>
          <w:p>
            <w:r>
              <w:rPr>
                <w:sz w:val="18"/>
              </w:rPr>
            </w:r>
            <w:r>
              <w:rPr>
                <w:sz w:val="18"/>
              </w:rPr>
              <w:t>90%</w:t>
            </w:r>
          </w:p>
        </w:tc>
      </w:tr>
      <w:tr>
        <w:tc>
          <w:tcPr>
            <w:tcW w:type="dxa" w:w="1234"/>
          </w:tcPr>
          <w:p>
            <w:r>
              <w:rPr>
                <w:sz w:val="18"/>
              </w:rPr>
            </w:r>
            <w:r>
              <w:rPr>
                <w:sz w:val="18"/>
              </w:rPr>
              <w:t>Kimi-K2.6</w:t>
            </w:r>
          </w:p>
        </w:tc>
        <w:tc>
          <w:tcPr>
            <w:tcW w:type="dxa" w:w="1234"/>
          </w:tcPr>
          <w:p>
            <w:r>
              <w:rPr>
                <w:sz w:val="18"/>
              </w:rPr>
            </w:r>
            <w:r>
              <w:rPr>
                <w:sz w:val="18"/>
              </w:rPr>
              <w:t>Moonshot</w:t>
            </w:r>
          </w:p>
        </w:tc>
        <w:tc>
          <w:tcPr>
            <w:tcW w:type="dxa" w:w="1234"/>
          </w:tcPr>
          <w:p>
            <w:r>
              <w:rPr>
                <w:sz w:val="18"/>
              </w:rPr>
            </w:r>
            <w:r>
              <w:rPr>
                <w:sz w:val="18"/>
              </w:rPr>
              <w:t>67.0%</w:t>
            </w:r>
          </w:p>
        </w:tc>
        <w:tc>
          <w:tcPr>
            <w:tcW w:type="dxa" w:w="1234"/>
          </w:tcPr>
          <w:p>
            <w:r>
              <w:rPr>
                <w:sz w:val="18"/>
              </w:rPr>
            </w:r>
            <w:r>
              <w:rPr>
                <w:sz w:val="18"/>
              </w:rPr>
              <w:t>97.8%</w:t>
            </w:r>
          </w:p>
        </w:tc>
        <w:tc>
          <w:tcPr>
            <w:tcW w:type="dxa" w:w="1234"/>
          </w:tcPr>
          <w:p>
            <w:r>
              <w:rPr>
                <w:sz w:val="18"/>
              </w:rPr>
            </w:r>
            <w:r>
              <w:rPr>
                <w:sz w:val="18"/>
              </w:rPr>
              <w:t>31.6%</w:t>
            </w:r>
          </w:p>
        </w:tc>
        <w:tc>
          <w:tcPr>
            <w:tcW w:type="dxa" w:w="1234"/>
          </w:tcPr>
          <w:p>
            <w:r>
              <w:rPr>
                <w:sz w:val="18"/>
              </w:rPr>
            </w:r>
            <w:r>
              <w:rPr>
                <w:sz w:val="18"/>
              </w:rPr>
              <w:t>2.5%</w:t>
            </w:r>
          </w:p>
        </w:tc>
        <w:tc>
          <w:tcPr>
            <w:tcW w:type="dxa" w:w="1234"/>
          </w:tcPr>
          <w:p>
            <w:r>
              <w:rPr>
                <w:sz w:val="18"/>
              </w:rPr>
            </w:r>
            <w:r>
              <w:rPr>
                <w:sz w:val="18"/>
              </w:rPr>
              <w:t>90%</w:t>
            </w:r>
          </w:p>
        </w:tc>
      </w:tr>
      <w:tr>
        <w:tc>
          <w:tcPr>
            <w:tcW w:type="dxa" w:w="1234"/>
          </w:tcPr>
          <w:p>
            <w:r>
              <w:rPr>
                <w:sz w:val="18"/>
              </w:rPr>
            </w:r>
            <w:r>
              <w:rPr>
                <w:sz w:val="18"/>
              </w:rPr>
              <w:t>MiMo V2.5 Pro</w:t>
            </w:r>
          </w:p>
        </w:tc>
        <w:tc>
          <w:tcPr>
            <w:tcW w:type="dxa" w:w="1234"/>
          </w:tcPr>
          <w:p>
            <w:r>
              <w:rPr>
                <w:sz w:val="18"/>
              </w:rPr>
            </w:r>
            <w:r>
              <w:rPr>
                <w:sz w:val="18"/>
              </w:rPr>
              <w:t>Xiaomi</w:t>
            </w:r>
          </w:p>
        </w:tc>
        <w:tc>
          <w:tcPr>
            <w:tcW w:type="dxa" w:w="1234"/>
          </w:tcPr>
          <w:p>
            <w:r>
              <w:rPr>
                <w:sz w:val="18"/>
              </w:rPr>
            </w:r>
            <w:r>
              <w:rPr>
                <w:sz w:val="18"/>
              </w:rPr>
              <w:t>66.1%</w:t>
            </w:r>
          </w:p>
        </w:tc>
        <w:tc>
          <w:tcPr>
            <w:tcW w:type="dxa" w:w="1234"/>
          </w:tcPr>
          <w:p>
            <w:r>
              <w:rPr>
                <w:sz w:val="18"/>
              </w:rPr>
            </w:r>
            <w:r>
              <w:rPr>
                <w:sz w:val="18"/>
              </w:rPr>
              <w:t>85.2%</w:t>
            </w:r>
          </w:p>
        </w:tc>
        <w:tc>
          <w:tcPr>
            <w:tcW w:type="dxa" w:w="1234"/>
          </w:tcPr>
          <w:p>
            <w:r>
              <w:rPr>
                <w:sz w:val="18"/>
              </w:rPr>
            </w:r>
            <w:r>
              <w:rPr>
                <w:sz w:val="18"/>
              </w:rPr>
              <w:t>22.5%</w:t>
            </w:r>
          </w:p>
        </w:tc>
        <w:tc>
          <w:tcPr>
            <w:tcW w:type="dxa" w:w="1234"/>
          </w:tcPr>
          <w:p>
            <w:r>
              <w:rPr>
                <w:sz w:val="18"/>
              </w:rPr>
            </w:r>
            <w:r>
              <w:rPr>
                <w:sz w:val="18"/>
              </w:rPr>
              <w:t>22.3%</w:t>
            </w:r>
          </w:p>
        </w:tc>
        <w:tc>
          <w:tcPr>
            <w:tcW w:type="dxa" w:w="1234"/>
          </w:tcPr>
          <w:p>
            <w:r>
              <w:rPr>
                <w:sz w:val="18"/>
              </w:rPr>
            </w:r>
            <w:r>
              <w:rPr>
                <w:sz w:val="18"/>
              </w:rPr>
              <w:t>92%</w:t>
            </w:r>
          </w:p>
        </w:tc>
      </w:tr>
      <w:tr>
        <w:tc>
          <w:tcPr>
            <w:tcW w:type="dxa" w:w="1234"/>
          </w:tcPr>
          <w:p>
            <w:r>
              <w:rPr>
                <w:sz w:val="18"/>
              </w:rPr>
            </w:r>
            <w:r>
              <w:rPr>
                <w:sz w:val="18"/>
              </w:rPr>
              <w:t>DeepSeek V4-pro</w:t>
            </w:r>
          </w:p>
        </w:tc>
        <w:tc>
          <w:tcPr>
            <w:tcW w:type="dxa" w:w="1234"/>
          </w:tcPr>
          <w:p>
            <w:r>
              <w:rPr>
                <w:sz w:val="18"/>
              </w:rPr>
            </w:r>
            <w:r>
              <w:rPr>
                <w:sz w:val="18"/>
              </w:rPr>
              <w:t>DeepSeek</w:t>
            </w:r>
          </w:p>
        </w:tc>
        <w:tc>
          <w:tcPr>
            <w:tcW w:type="dxa" w:w="1234"/>
          </w:tcPr>
          <w:p>
            <w:r>
              <w:rPr>
                <w:sz w:val="18"/>
              </w:rPr>
            </w:r>
            <w:r>
              <w:rPr>
                <w:sz w:val="18"/>
              </w:rPr>
              <w:t>61.8%</w:t>
            </w:r>
          </w:p>
        </w:tc>
        <w:tc>
          <w:tcPr>
            <w:tcW w:type="dxa" w:w="1234"/>
          </w:tcPr>
          <w:p>
            <w:r>
              <w:rPr>
                <w:sz w:val="18"/>
              </w:rPr>
            </w:r>
            <w:r>
              <w:rPr>
                <w:sz w:val="18"/>
              </w:rPr>
              <w:t>81.2%</w:t>
            </w:r>
          </w:p>
        </w:tc>
        <w:tc>
          <w:tcPr>
            <w:tcW w:type="dxa" w:w="1234"/>
          </w:tcPr>
          <w:p>
            <w:r>
              <w:rPr>
                <w:sz w:val="18"/>
              </w:rPr>
            </w:r>
            <w:r>
              <w:rPr>
                <w:sz w:val="18"/>
              </w:rPr>
              <w:t>23.9%</w:t>
            </w:r>
          </w:p>
        </w:tc>
        <w:tc>
          <w:tcPr>
            <w:tcW w:type="dxa" w:w="1234"/>
          </w:tcPr>
          <w:p>
            <w:r>
              <w:rPr>
                <w:sz w:val="18"/>
              </w:rPr>
            </w:r>
            <w:r>
              <w:rPr>
                <w:sz w:val="18"/>
              </w:rPr>
              <w:t>28.4%</w:t>
            </w:r>
          </w:p>
        </w:tc>
        <w:tc>
          <w:tcPr>
            <w:tcW w:type="dxa" w:w="1234"/>
          </w:tcPr>
          <w:p>
            <w:r>
              <w:rPr>
                <w:sz w:val="18"/>
              </w:rPr>
            </w:r>
            <w:r>
              <w:rPr>
                <w:sz w:val="18"/>
              </w:rPr>
              <w:t>93%</w:t>
            </w:r>
          </w:p>
        </w:tc>
      </w:tr>
      <w:tr>
        <w:tc>
          <w:tcPr>
            <w:tcW w:type="dxa" w:w="1234"/>
          </w:tcPr>
          <w:p>
            <w:r>
              <w:rPr>
                <w:sz w:val="18"/>
              </w:rPr>
            </w:r>
            <w:r>
              <w:rPr>
                <w:sz w:val="18"/>
              </w:rPr>
              <w:t>GPT-5.6-terra</w:t>
            </w:r>
          </w:p>
        </w:tc>
        <w:tc>
          <w:tcPr>
            <w:tcW w:type="dxa" w:w="1234"/>
          </w:tcPr>
          <w:p>
            <w:r>
              <w:rPr>
                <w:sz w:val="18"/>
              </w:rPr>
            </w:r>
            <w:r>
              <w:rPr>
                <w:sz w:val="18"/>
              </w:rPr>
              <w:t>OpenAI</w:t>
            </w:r>
          </w:p>
        </w:tc>
        <w:tc>
          <w:tcPr>
            <w:tcW w:type="dxa" w:w="1234"/>
          </w:tcPr>
          <w:p>
            <w:r>
              <w:rPr>
                <w:sz w:val="18"/>
              </w:rPr>
            </w:r>
            <w:r>
              <w:rPr>
                <w:sz w:val="18"/>
              </w:rPr>
              <w:t>60.3%</w:t>
            </w:r>
          </w:p>
        </w:tc>
        <w:tc>
          <w:tcPr>
            <w:tcW w:type="dxa" w:w="1234"/>
          </w:tcPr>
          <w:p>
            <w:r>
              <w:rPr>
                <w:sz w:val="18"/>
              </w:rPr>
            </w:r>
            <w:r>
              <w:rPr>
                <w:sz w:val="18"/>
              </w:rPr>
              <w:t>86.9%</w:t>
            </w:r>
          </w:p>
        </w:tc>
        <w:tc>
          <w:tcPr>
            <w:tcW w:type="dxa" w:w="1234"/>
          </w:tcPr>
          <w:p>
            <w:r>
              <w:rPr>
                <w:sz w:val="18"/>
              </w:rPr>
            </w:r>
            <w:r>
              <w:rPr>
                <w:sz w:val="18"/>
              </w:rPr>
              <w:t>30.6%</w:t>
            </w:r>
          </w:p>
        </w:tc>
        <w:tc>
          <w:tcPr>
            <w:tcW w:type="dxa" w:w="1234"/>
          </w:tcPr>
          <w:p>
            <w:r>
              <w:rPr>
                <w:sz w:val="18"/>
              </w:rPr>
            </w:r>
            <w:r>
              <w:rPr>
                <w:sz w:val="18"/>
              </w:rPr>
              <w:t>17.9%</w:t>
            </w:r>
          </w:p>
        </w:tc>
        <w:tc>
          <w:tcPr>
            <w:tcW w:type="dxa" w:w="1234"/>
          </w:tcPr>
          <w:p>
            <w:r>
              <w:rPr>
                <w:sz w:val="18"/>
              </w:rPr>
            </w:r>
            <w:r>
              <w:rPr>
                <w:sz w:val="18"/>
              </w:rPr>
              <w:t>92%</w:t>
            </w:r>
          </w:p>
        </w:tc>
      </w:tr>
      <w:tr>
        <w:tc>
          <w:tcPr>
            <w:tcW w:type="dxa" w:w="1234"/>
          </w:tcPr>
          <w:p>
            <w:r>
              <w:rPr>
                <w:sz w:val="18"/>
              </w:rPr>
            </w:r>
            <w:r>
              <w:rPr>
                <w:sz w:val="18"/>
              </w:rPr>
              <w:t>DeepSeek chat</w:t>
            </w:r>
          </w:p>
        </w:tc>
        <w:tc>
          <w:tcPr>
            <w:tcW w:type="dxa" w:w="1234"/>
          </w:tcPr>
          <w:p>
            <w:r>
              <w:rPr>
                <w:sz w:val="18"/>
              </w:rPr>
            </w:r>
            <w:r>
              <w:rPr>
                <w:sz w:val="18"/>
              </w:rPr>
              <w:t>DeepSeek</w:t>
            </w:r>
          </w:p>
        </w:tc>
        <w:tc>
          <w:tcPr>
            <w:tcW w:type="dxa" w:w="1234"/>
          </w:tcPr>
          <w:p>
            <w:r>
              <w:rPr>
                <w:sz w:val="18"/>
              </w:rPr>
            </w:r>
            <w:r>
              <w:rPr>
                <w:sz w:val="18"/>
              </w:rPr>
              <w:t>49.4%</w:t>
            </w:r>
          </w:p>
        </w:tc>
        <w:tc>
          <w:tcPr>
            <w:tcW w:type="dxa" w:w="1234"/>
          </w:tcPr>
          <w:p>
            <w:r>
              <w:rPr>
                <w:sz w:val="18"/>
              </w:rPr>
            </w:r>
            <w:r>
              <w:rPr>
                <w:sz w:val="18"/>
              </w:rPr>
              <w:t>98.6%</w:t>
            </w:r>
          </w:p>
        </w:tc>
        <w:tc>
          <w:tcPr>
            <w:tcW w:type="dxa" w:w="1234"/>
          </w:tcPr>
          <w:p>
            <w:r>
              <w:rPr>
                <w:sz w:val="18"/>
              </w:rPr>
            </w:r>
            <w:r>
              <w:rPr>
                <w:sz w:val="18"/>
              </w:rPr>
              <w:t>49.9%</w:t>
            </w:r>
          </w:p>
        </w:tc>
        <w:tc>
          <w:tcPr>
            <w:tcW w:type="dxa" w:w="1234"/>
          </w:tcPr>
          <w:p>
            <w:r>
              <w:rPr>
                <w:sz w:val="18"/>
              </w:rPr>
            </w:r>
            <w:r>
              <w:rPr>
                <w:sz w:val="18"/>
              </w:rPr>
              <w:t>1.4%</w:t>
            </w:r>
          </w:p>
        </w:tc>
        <w:tc>
          <w:tcPr>
            <w:tcW w:type="dxa" w:w="1234"/>
          </w:tcPr>
          <w:p>
            <w:r>
              <w:rPr>
                <w:sz w:val="18"/>
              </w:rPr>
            </w:r>
            <w:r>
              <w:rPr>
                <w:sz w:val="18"/>
              </w:rPr>
              <w:t>69%</w:t>
            </w:r>
          </w:p>
        </w:tc>
      </w:tr>
      <w:tr>
        <w:tc>
          <w:tcPr>
            <w:tcW w:type="dxa" w:w="1234"/>
          </w:tcPr>
          <w:p>
            <w:r>
              <w:rPr>
                <w:sz w:val="18"/>
              </w:rPr>
            </w:r>
            <w:r>
              <w:rPr>
                <w:sz w:val="18"/>
              </w:rPr>
              <w:t>DeepSeek coder</w:t>
            </w:r>
          </w:p>
        </w:tc>
        <w:tc>
          <w:tcPr>
            <w:tcW w:type="dxa" w:w="1234"/>
          </w:tcPr>
          <w:p>
            <w:r>
              <w:rPr>
                <w:sz w:val="18"/>
              </w:rPr>
            </w:r>
            <w:r>
              <w:rPr>
                <w:sz w:val="18"/>
              </w:rPr>
              <w:t>DeepSeek</w:t>
            </w:r>
          </w:p>
        </w:tc>
        <w:tc>
          <w:tcPr>
            <w:tcW w:type="dxa" w:w="1234"/>
          </w:tcPr>
          <w:p>
            <w:r>
              <w:rPr>
                <w:sz w:val="18"/>
              </w:rPr>
            </w:r>
            <w:r>
              <w:rPr>
                <w:sz w:val="18"/>
              </w:rPr>
              <w:t>49.2%</w:t>
            </w:r>
          </w:p>
        </w:tc>
        <w:tc>
          <w:tcPr>
            <w:tcW w:type="dxa" w:w="1234"/>
          </w:tcPr>
          <w:p>
            <w:r>
              <w:rPr>
                <w:sz w:val="18"/>
              </w:rPr>
            </w:r>
            <w:r>
              <w:rPr>
                <w:sz w:val="18"/>
              </w:rPr>
              <w:t>98.7%</w:t>
            </w:r>
          </w:p>
        </w:tc>
        <w:tc>
          <w:tcPr>
            <w:tcW w:type="dxa" w:w="1234"/>
          </w:tcPr>
          <w:p>
            <w:r>
              <w:rPr>
                <w:sz w:val="18"/>
              </w:rPr>
            </w:r>
            <w:r>
              <w:rPr>
                <w:sz w:val="18"/>
              </w:rPr>
              <w:t>50.1%</w:t>
            </w:r>
          </w:p>
        </w:tc>
        <w:tc>
          <w:tcPr>
            <w:tcW w:type="dxa" w:w="1234"/>
          </w:tcPr>
          <w:p>
            <w:r>
              <w:rPr>
                <w:sz w:val="18"/>
              </w:rPr>
            </w:r>
            <w:r>
              <w:rPr>
                <w:sz w:val="18"/>
              </w:rPr>
              <w:t>1.3%</w:t>
            </w:r>
          </w:p>
        </w:tc>
        <w:tc>
          <w:tcPr>
            <w:tcW w:type="dxa" w:w="1234"/>
          </w:tcPr>
          <w:p>
            <w:r>
              <w:rPr>
                <w:sz w:val="18"/>
              </w:rPr>
            </w:r>
            <w:r>
              <w:rPr>
                <w:sz w:val="18"/>
              </w:rPr>
              <w:t>68%</w:t>
            </w:r>
          </w:p>
        </w:tc>
      </w:tr>
    </w:tbl>
    <w:p>
      <w:r>
        <w:rPr>
          <w:b/>
        </w:rPr>
        <w:t>Finding 6 (The domestic findings generalize — and sharpen — internationally).</w:t>
      </w:r>
      <w:r>
        <w:t xml:space="preserve"> Three observations extend beyond the Chinese ecosystem. (i) </w:t>
      </w:r>
      <w:r>
        <w:rPr>
          <w:b/>
        </w:rPr>
        <w:t>Gemini 3 Flash leads all nine models</w:t>
      </w:r>
      <w:r>
        <w:t xml:space="preserve"> (76.5% [75.3–77.7], +4.9 pp over the best domestic model; McNemar p = 1.7×10⁻¹³) with the lowest abstention (9.2%) — but pays for it with a 27.8% false-positive rate on Benign variants, placing it squarely in the </w:t>
      </w:r>
      <w:r>
        <w:rPr>
          <w:i/>
        </w:rPr>
        <w:t>aggressive</w:t>
      </w:r>
      <w:r>
        <w:t xml:space="preserve"> camp with V4-pro (28.4%) and MiMo (22.3%). (ii) </w:t>
      </w:r>
      <w:r>
        <w:rPr>
          <w:b/>
        </w:rPr>
        <w:t>Claude behaves as a conservative model</w:t>
      </w:r>
      <w:r>
        <w:t xml:space="preserve">: 97.0% conditional accuracy with 3.9% FP — an order of magnitude below the aggressive camp and closest to Kimi's (2.5%; Fisher exact p = 0.008, distinguishable but both single-digit), and it exceeds Kimi in all-inclusive accuracy (p = 2.7×10⁻³) while sitting below Qwen (p = 3.0×10⁻¹⁵). The conservative/aggressive dichotomy of Finding 2 is thus a property of model </w:t>
      </w:r>
      <w:r>
        <w:rPr>
          <w:i/>
        </w:rPr>
        <w:t>behavior</w:t>
      </w:r>
      <w:r>
        <w:t xml:space="preserve">, not vendor nationality. (iii) </w:t>
      </w:r>
      <w:r>
        <w:rPr>
          <w:b/>
        </w:rPr>
        <w:t>GPT-5.6-terra trails its foreign peers</w:t>
      </w:r>
      <w:r>
        <w:t xml:space="preserve"> (60.3%, significantly below Qwen: McNemar p = 4.7×10⁻⁹⁰) and sits below every current-generation domestic model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1,065/5,000 (21.3%), Gemini 646/5,000 (12.9%), GPT 591/5,000 (11.8%). Strikingly, </w:t>
      </w:r>
      <w:r>
        <w:rPr>
          <w:b/>
        </w:rPr>
        <w:t>not one foreign model ever emitted "Likely pathogenic" (0/15,000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w:t>
      </w:r>
    </w:p>
    <w:p>
      <w:r>
        <w:t>(Fig. 5)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9.2% Gemini vs. 29.3% Claude; FP 27.8% vs. 3.9%).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5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at full scale) places Gemini first overall (76.5%)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sharpens this: Gemini 3 Flash leads all nine models in all-inclusive accuracy (76.5%) but with a 27.8% Benign→Pathogenic FP rate (aggressive camp), while Claude pairs 97.0% conditional accuracy with 3.9% FP (conservative camp, closest to Kimi's 2.5%).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API latency spans 29× across the panel (65.9 s vs. 2.3 s per call), a deployment consideration for population-scale screening.</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complete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accessed through a relay endpoint and received a research-context system prompt that domestic models did not (required to prevent Claude's medical-safety refusals); the prompt-robustness check (§ international extension) shows the behavioral dichotomy is unaffected.</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44,996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Investigation, Data curation, Validation,</w:t>
      </w:r>
    </w:p>
    <w:p>
      <w:r>
        <w:t>Writing – original draft.</w:t>
      </w:r>
    </w:p>
    <w:p>
      <w:r>
        <w:rPr>
          <w:b/>
        </w:rPr>
        <w:t>Kai Zhang:</w:t>
      </w:r>
      <w:r>
        <w:t xml:space="preserve"> Methodology, Software, Formal analysis, Visualization,</w:t>
      </w:r>
    </w:p>
    <w:p>
      <w:r>
        <w:t>Supervision, Writing – review &amp; editing. All authors read and approved the</w:t>
      </w:r>
    </w:p>
    <w:p>
      <w:r>
        <w:t>final 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complete test set</w:t>
      </w:r>
    </w:p>
    <w:p>
      <w:r>
        <w:t>(international models in gray). C: Benign→Pathogenic false-positive rates on the</w:t>
      </w:r>
    </w:p>
    <w:p>
      <w:r>
        <w:t>complete test 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5. Behavioral dashboard of the nine models.</w:t>
      </w:r>
    </w:p>
    <w:p>
      <w:r>
        <w:t>Six audited dimensions per model (all-inclusive, conditional, expert-panel, abstention, Benign-to-Pathogenic FP, spoken rate), color-coded 0-100; the dashboard summarizes the audit and supports model selection.</w:t>
      </w:r>
    </w:p>
    <w:p>
      <w:r>
        <w:rPr>
          <w:b/>
        </w:rPr>
        <w:t>Fig. 4. Fate of gold-standard Benign variants across the nine models.</w:t>
      </w:r>
    </w:p>
    <w:p>
      <w:r>
        <w:t>For each model, the share of the 2,500 gold-standard Benign variants that is</w:t>
      </w:r>
    </w:p>
    <w:p>
      <w:r>
        <w:t>correctly called Benign (blue), abstained as VUS (grey), or misclassified as</w:t>
      </w:r>
    </w:p>
    <w:p>
      <w:r>
        <w:t>Pathogenic (magenta) — the clinically dangerous direction. Conservative and</w:t>
      </w:r>
    </w:p>
    <w:p>
      <w:r>
        <w:t>aggressive camps separate sharply on the magenta segment.</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Nine-model comparison on the complete test set (n = 5,000 per model).</w:t>
      </w:r>
    </w:p>
    <w:p>
      <w:r>
        <w:t xml:space="preserve">- </w:t>
      </w:r>
      <w:r>
        <w:rPr>
          <w:b/>
        </w:rPr>
        <w:t>Table S3.</w:t>
      </w:r>
      <w:r>
        <w:t xml:space="preserve"> Expert-panel validation (n = 797 exclusive variants; 3 models).</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