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75CF7" w14:textId="77777777" w:rsidR="009776E6" w:rsidRDefault="00000000">
      <w:pPr>
        <w:pStyle w:val="MdHeading1"/>
      </w:pPr>
      <w:r>
        <w:t>Таможня без пошлин: как легально перевезти личные вещи из Германии в Россию в 2026 году</w:t>
      </w:r>
    </w:p>
    <w:p w14:paraId="2F267B13" w14:textId="4EA8571F" w:rsidR="009776E6" w:rsidRDefault="00000000" w:rsidP="006A539E">
      <w:pPr>
        <w:pStyle w:val="MdParagraph"/>
      </w:pPr>
      <w:r>
        <w:t xml:space="preserve">Для большинства людей, планирующих международный переезд, слово «таможня» ассоциируется с непредсказуемыми расходами, бюрократическими лабиринтами и риском потери имущества. В 2026 году, когда правила пересечения границ между Европой и Россией стали еще строже, эти опасения кажутся оправданными. </w:t>
      </w:r>
    </w:p>
    <w:p w14:paraId="760C962D" w14:textId="2B2319A7" w:rsidR="009776E6" w:rsidRDefault="00000000" w:rsidP="006A539E">
      <w:pPr>
        <w:pStyle w:val="MdParagraph"/>
      </w:pPr>
      <w:r>
        <w:t xml:space="preserve">Однако юридическая реальность такова, что таможня — это не лотерея, а строго регламентированный процесс. Знание актуальных правил и умение правильно применять предусмотренные законом льготы позволяют превратить прохождение границы из стрессового фактора в обычную техническую формальность, экономя при этом значительные суммы на пошлинах и обеспечивая полную безопасность перевозимых ценностей. </w:t>
      </w:r>
    </w:p>
    <w:p w14:paraId="44443D6B" w14:textId="7C9BE9E4" w:rsidR="009776E6" w:rsidRDefault="00000000" w:rsidP="006A539E">
      <w:pPr>
        <w:pStyle w:val="MdParagraph"/>
      </w:pPr>
      <w:r>
        <w:t>Профессиональный подход к таможенному оформлению начинается задолго до того, как грузовая машина пересечет границу, и требует глубокого понимания как российских, так и европейских регламентов.</w:t>
      </w:r>
    </w:p>
    <w:p w14:paraId="08F50725" w14:textId="77777777" w:rsidR="009776E6" w:rsidRDefault="00000000">
      <w:pPr>
        <w:pStyle w:val="MdHeading3"/>
      </w:pPr>
      <w:r>
        <w:t>Базовые правила и критерии «личного пользования» в 2026 году</w:t>
      </w:r>
    </w:p>
    <w:p w14:paraId="4BE2E171" w14:textId="0468C1F3" w:rsidR="009776E6" w:rsidRDefault="00000000" w:rsidP="006A539E">
      <w:pPr>
        <w:pStyle w:val="MdParagraph"/>
      </w:pPr>
      <w:r>
        <w:t xml:space="preserve">Прежде чем говорить о льготах, необходимо четко понимать базовые правила ввоза товаров для личного пользования. Согласно текущим нормам Евразийского экономического союза, при наземном пересечении границы действуют жесткие лимиты на вес и стоимость груза. </w:t>
      </w:r>
    </w:p>
    <w:p w14:paraId="5585C6C6" w14:textId="551B4463" w:rsidR="009776E6" w:rsidRDefault="00000000" w:rsidP="006A539E">
      <w:pPr>
        <w:pStyle w:val="MdParagraph"/>
      </w:pPr>
      <w:r>
        <w:t xml:space="preserve">Любое превышение этих параметров влечет за собой уплату пошлины в размере </w:t>
      </w:r>
      <w:r w:rsidR="006A539E">
        <w:t>30</w:t>
      </w:r>
      <w:proofErr w:type="gramStart"/>
      <w:r w:rsidR="006A539E">
        <w:t xml:space="preserve">% </w:t>
      </w:r>
      <w:r>
        <w:t xml:space="preserve"> от</w:t>
      </w:r>
      <w:proofErr w:type="gramEnd"/>
      <w:r>
        <w:t xml:space="preserve"> стоимости, но не менее </w:t>
      </w:r>
      <w:r w:rsidR="006A539E">
        <w:t>4</w:t>
      </w:r>
      <w:r>
        <w:t xml:space="preserve"> евро за каждый лишний килограмм. Для семьи, перевозящей обстановку целой квартиры или дома, такие платежи могут составить сотни тысяч рублей, что делает использование льготных программ экономически необходимым. </w:t>
      </w:r>
    </w:p>
    <w:p w14:paraId="6EE14398" w14:textId="121B6501" w:rsidR="009776E6" w:rsidRDefault="00000000" w:rsidP="006A539E">
      <w:pPr>
        <w:pStyle w:val="MdParagraph"/>
      </w:pPr>
      <w:r>
        <w:t>Кроме того, таможенные органы в 2026 году применяют строгие критерии для разграничения личных вещей и коммерческих партий. Если в грузе обнаруживается избыточное количество однотипных новых предметов, доказать их предназначение для личных нужд будет крайне сложно. Это может привести к задержке всей партии и необходимости сложного документального подтверждения каждой позиции.</w:t>
      </w:r>
    </w:p>
    <w:p w14:paraId="52EB1907" w14:textId="77777777" w:rsidR="009776E6" w:rsidRDefault="00000000">
      <w:pPr>
        <w:pStyle w:val="MdHeading3"/>
      </w:pPr>
      <w:r>
        <w:t>Льготные режимы: Программа переселения и «правило одного года»</w:t>
      </w:r>
    </w:p>
    <w:p w14:paraId="50AE436A" w14:textId="3FFEA570" w:rsidR="009776E6" w:rsidRDefault="00000000" w:rsidP="006A539E">
      <w:pPr>
        <w:pStyle w:val="MdParagraph"/>
      </w:pPr>
      <w:r>
        <w:t xml:space="preserve">Наиболее эффективным инструментом обнуления таможенных платежей остается участие в государственной программе по оказанию содействия добровольному переселению соотечественников. Участники этой программы и члены их семей обладают уникальным правом на беспошлинный ввоз личного имущества без ограничения по весу и общей стоимости. </w:t>
      </w:r>
    </w:p>
    <w:p w14:paraId="35155681" w14:textId="271D9DDE" w:rsidR="009776E6" w:rsidRDefault="00000000" w:rsidP="006A539E">
      <w:pPr>
        <w:pStyle w:val="MdParagraph"/>
      </w:pPr>
      <w:r>
        <w:t xml:space="preserve">Ключевым юридическим условием здесь является факт владения вещами до даты получения свидетельства участника программы, что требует тщательной подготовки документальной базы еще на территории Германии. Важно заранее собрать все чеки на дорогую технику и мебель, а также правильно оформить справку о снятии с </w:t>
      </w:r>
      <w:r>
        <w:lastRenderedPageBreak/>
        <w:t>регистрационного учета (</w:t>
      </w:r>
      <w:proofErr w:type="spellStart"/>
      <w:r>
        <w:t>Abmeldung</w:t>
      </w:r>
      <w:proofErr w:type="spellEnd"/>
      <w:r>
        <w:t>), которая служит важным звеном в цепочке доказательств вашего статуса переселенца и подтверждает намерение окончательно сменить место жительства.</w:t>
      </w:r>
    </w:p>
    <w:p w14:paraId="562CF894" w14:textId="363E21DE" w:rsidR="009776E6" w:rsidRDefault="00000000" w:rsidP="006A539E">
      <w:pPr>
        <w:pStyle w:val="MdParagraph"/>
      </w:pPr>
      <w:r>
        <w:t xml:space="preserve">Для граждан России, не участвующих в программе, но проживших в Германии более двенадцати месяцев, предусмотрены альтернативные преференции. При условии документального подтверждения факта непрерывного проживания за рубежом и владения ввозимыми вещами не менее шести месяцев, законодательство позволяет осуществить ввоз с полным или частичным освобождением от уплаты пошлин. </w:t>
      </w:r>
    </w:p>
    <w:p w14:paraId="0E0F11D4" w14:textId="08A621C9" w:rsidR="009776E6" w:rsidRDefault="00000000" w:rsidP="006A539E">
      <w:pPr>
        <w:pStyle w:val="MdParagraph"/>
      </w:pPr>
      <w:r>
        <w:t>В этом сценарии решающую роль играет справка из консульского учреждения Российской Федерации в Германии, подтверждающая срок вашего пребывания в стране. Без этого документа, оформленного надлежащим образом, претендовать на льготу при пересечении границы практически невозможно, так как таможенный инспектор не имеет права принимать во внимание иные косвенные доказательства без официального подтверждения от дипломатического ведомства.</w:t>
      </w:r>
    </w:p>
    <w:p w14:paraId="732BB2FA" w14:textId="77777777" w:rsidR="009776E6" w:rsidRDefault="00000000">
      <w:pPr>
        <w:pStyle w:val="MdHeading3"/>
      </w:pPr>
      <w:r>
        <w:t>Санкционные вызовы и экспертный комплаенс</w:t>
      </w:r>
    </w:p>
    <w:p w14:paraId="74CBF745" w14:textId="686AD137" w:rsidR="009776E6" w:rsidRDefault="00000000" w:rsidP="006A539E">
      <w:pPr>
        <w:pStyle w:val="MdParagraph"/>
      </w:pPr>
      <w:r>
        <w:t xml:space="preserve">Особенностью текущего года являются санкционные ограничения, наложенные Европейским союзом на вывоз определенных категорий товаров в Россию. Под особый контроль попадает электроника стоимостью выше определенных лимитов, предметы роскоши и некоторое оборудование двойного назначения. </w:t>
      </w:r>
    </w:p>
    <w:p w14:paraId="7AF33EB5" w14:textId="64E929D5" w:rsidR="009776E6" w:rsidRDefault="00000000" w:rsidP="006A539E">
      <w:pPr>
        <w:pStyle w:val="MdParagraph"/>
      </w:pPr>
      <w:r>
        <w:t xml:space="preserve">Чтобы избежать риска конфискации на европейской стороне границы, необходим глубокий предварительный аудит каждой позиции в описи груза. Специалисты проводят тщательную проверку кодов ТН ВЭД и оценивают состояние вещей, помогая сформировать опись таким образом, чтобы она соответствовала и европейским правилам вывоза, и российским правилам ввоза. </w:t>
      </w:r>
    </w:p>
    <w:p w14:paraId="4D6E1655" w14:textId="5FF6BE13" w:rsidR="009776E6" w:rsidRDefault="00000000" w:rsidP="006A539E">
      <w:pPr>
        <w:pStyle w:val="MdParagraph"/>
      </w:pPr>
      <w:r>
        <w:t>Отдельным сложным блоком стоит перевозка культурных ценностей, таких как антиквариат, картины или музыкальные инструменты старше пятидесяти лет. На них требуется получение специальных экспортных разрешений от немецких ведомств, что занимает значительное время и требует профессионального юридического сопровождения.</w:t>
      </w:r>
    </w:p>
    <w:p w14:paraId="135BA608" w14:textId="77777777" w:rsidR="009776E6" w:rsidRDefault="00000000">
      <w:pPr>
        <w:pStyle w:val="MdHeading3"/>
      </w:pPr>
      <w:r>
        <w:t>Технология удаленного выпуска и документальная точность</w:t>
      </w:r>
    </w:p>
    <w:p w14:paraId="3459B616" w14:textId="17E6B5BF" w:rsidR="009776E6" w:rsidRDefault="00000000" w:rsidP="006A539E">
      <w:pPr>
        <w:pStyle w:val="MdParagraph"/>
      </w:pPr>
      <w:r>
        <w:t xml:space="preserve">Успешное прохождение таможни в 2026 году на девяносто процентов зависит от качества подготовки документов до момента отправки автомобиля. Простая опись в свободной форме больше не является рабочим инструментом. Каждая позиция должна быть описана с предельной точностью, включая вес, оценочную стоимость и четкое указание состояния вещей, подтверждающее их использование в быту. </w:t>
      </w:r>
    </w:p>
    <w:p w14:paraId="75111727" w14:textId="08D727DF" w:rsidR="009776E6" w:rsidRDefault="00000000" w:rsidP="006A539E">
      <w:pPr>
        <w:pStyle w:val="MdParagraph"/>
      </w:pPr>
      <w:r>
        <w:t>Профессиональный аудит описи позволяет выявить потенциально проблемные позиции и скорректировать формулировки в соответствии с актуальными таможенными регламентами, что минимизирует вероятность назначения дополнительных досмотров или экспертиз.</w:t>
      </w:r>
    </w:p>
    <w:p w14:paraId="2BB222E3" w14:textId="77777777" w:rsidR="009776E6" w:rsidRDefault="00000000">
      <w:pPr>
        <w:pStyle w:val="MdParagraph"/>
      </w:pPr>
      <w:r>
        <w:t xml:space="preserve">Современные логистические стандарты позволяют проводить таможенное оформление в режиме удаленного выпуска, что полностью исключает необходимость личного присутствия владельца вещей на границе или на таможенном терминале. Все взаимодействие с государственными органами осуществляет профессиональный таможенный представитель на основании доверенности. </w:t>
      </w:r>
    </w:p>
    <w:p w14:paraId="6BF131B5" w14:textId="77777777" w:rsidR="009776E6" w:rsidRDefault="009776E6">
      <w:pPr>
        <w:pStyle w:val="MdSpace"/>
        <w:spacing w:after="60"/>
      </w:pPr>
    </w:p>
    <w:p w14:paraId="1F0CE564" w14:textId="77777777" w:rsidR="009776E6" w:rsidRDefault="00000000">
      <w:pPr>
        <w:pStyle w:val="MdParagraph"/>
      </w:pPr>
      <w:r>
        <w:t>Это не только избавляет владельца от необходимости погружаться в бюрократические тонкости и тратить время на поездки, но и обеспечивает высокий уровень защиты интересов за счет юридически грамотного общения с инспекторами. Таким образом, таможенное оформление превращается из зоны риска в прозрачный и предсказуемый этап переезда, гарантирующий законность и значительную финансовую оптимизацию всего процесса международной релокации.</w:t>
      </w:r>
    </w:p>
    <w:sectPr w:rsidR="009776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A0047"/>
    <w:multiLevelType w:val="multilevel"/>
    <w:tmpl w:val="2B38851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9A3249D"/>
    <w:multiLevelType w:val="hybridMultilevel"/>
    <w:tmpl w:val="8FF8A27A"/>
    <w:lvl w:ilvl="0" w:tplc="C72EB048">
      <w:start w:val="1"/>
      <w:numFmt w:val="bullet"/>
      <w:lvlText w:val="●"/>
      <w:lvlJc w:val="left"/>
      <w:pPr>
        <w:ind w:left="720" w:hanging="360"/>
      </w:pPr>
    </w:lvl>
    <w:lvl w:ilvl="1" w:tplc="59E4066C">
      <w:start w:val="1"/>
      <w:numFmt w:val="bullet"/>
      <w:lvlText w:val="○"/>
      <w:lvlJc w:val="left"/>
      <w:pPr>
        <w:ind w:left="1440" w:hanging="360"/>
      </w:pPr>
    </w:lvl>
    <w:lvl w:ilvl="2" w:tplc="A6161DAC">
      <w:start w:val="1"/>
      <w:numFmt w:val="bullet"/>
      <w:lvlText w:val="■"/>
      <w:lvlJc w:val="left"/>
      <w:pPr>
        <w:ind w:left="2160" w:hanging="360"/>
      </w:pPr>
    </w:lvl>
    <w:lvl w:ilvl="3" w:tplc="C7164782">
      <w:start w:val="1"/>
      <w:numFmt w:val="bullet"/>
      <w:lvlText w:val="●"/>
      <w:lvlJc w:val="left"/>
      <w:pPr>
        <w:ind w:left="2880" w:hanging="360"/>
      </w:pPr>
    </w:lvl>
    <w:lvl w:ilvl="4" w:tplc="BEA2C620">
      <w:start w:val="1"/>
      <w:numFmt w:val="bullet"/>
      <w:lvlText w:val="○"/>
      <w:lvlJc w:val="left"/>
      <w:pPr>
        <w:ind w:left="3600" w:hanging="360"/>
      </w:pPr>
    </w:lvl>
    <w:lvl w:ilvl="5" w:tplc="428A1916">
      <w:start w:val="1"/>
      <w:numFmt w:val="bullet"/>
      <w:lvlText w:val="■"/>
      <w:lvlJc w:val="left"/>
      <w:pPr>
        <w:ind w:left="4320" w:hanging="360"/>
      </w:pPr>
    </w:lvl>
    <w:lvl w:ilvl="6" w:tplc="E2EC3C78">
      <w:start w:val="1"/>
      <w:numFmt w:val="bullet"/>
      <w:lvlText w:val="●"/>
      <w:lvlJc w:val="left"/>
      <w:pPr>
        <w:ind w:left="5040" w:hanging="360"/>
      </w:pPr>
    </w:lvl>
    <w:lvl w:ilvl="7" w:tplc="42402364">
      <w:start w:val="1"/>
      <w:numFmt w:val="bullet"/>
      <w:lvlText w:val="●"/>
      <w:lvlJc w:val="left"/>
      <w:pPr>
        <w:ind w:left="5760" w:hanging="360"/>
      </w:pPr>
    </w:lvl>
    <w:lvl w:ilvl="8" w:tplc="0AAE3B06">
      <w:start w:val="1"/>
      <w:numFmt w:val="bullet"/>
      <w:lvlText w:val="●"/>
      <w:lvlJc w:val="left"/>
      <w:pPr>
        <w:ind w:left="6480" w:hanging="360"/>
      </w:pPr>
    </w:lvl>
  </w:abstractNum>
  <w:abstractNum w:abstractNumId="2" w15:restartNumberingAfterBreak="0">
    <w:nsid w:val="4AA85F3E"/>
    <w:multiLevelType w:val="hybridMultilevel"/>
    <w:tmpl w:val="27A405B4"/>
    <w:lvl w:ilvl="0" w:tplc="25C2C95A">
      <w:start w:val="1"/>
      <w:numFmt w:val="bullet"/>
      <w:lvlText w:val="•"/>
      <w:lvlJc w:val="left"/>
      <w:pPr>
        <w:ind w:left="720" w:hanging="360"/>
      </w:pPr>
    </w:lvl>
    <w:lvl w:ilvl="1" w:tplc="3ED61AF8">
      <w:start w:val="1"/>
      <w:numFmt w:val="bullet"/>
      <w:lvlText w:val="◦"/>
      <w:lvlJc w:val="left"/>
      <w:pPr>
        <w:ind w:left="1440" w:hanging="360"/>
      </w:pPr>
    </w:lvl>
    <w:lvl w:ilvl="2" w:tplc="1910FD14">
      <w:start w:val="1"/>
      <w:numFmt w:val="bullet"/>
      <w:lvlText w:val="•"/>
      <w:lvlJc w:val="left"/>
      <w:pPr>
        <w:ind w:left="2160" w:hanging="360"/>
      </w:pPr>
    </w:lvl>
    <w:lvl w:ilvl="3" w:tplc="6CB014FC">
      <w:start w:val="1"/>
      <w:numFmt w:val="bullet"/>
      <w:lvlText w:val="◦"/>
      <w:lvlJc w:val="left"/>
      <w:pPr>
        <w:ind w:left="2880" w:hanging="360"/>
      </w:pPr>
    </w:lvl>
    <w:lvl w:ilvl="4" w:tplc="5AB64D4E">
      <w:start w:val="1"/>
      <w:numFmt w:val="bullet"/>
      <w:lvlText w:val="•"/>
      <w:lvlJc w:val="left"/>
      <w:pPr>
        <w:ind w:left="3600" w:hanging="360"/>
      </w:pPr>
    </w:lvl>
    <w:lvl w:ilvl="5" w:tplc="F934ECBA">
      <w:start w:val="1"/>
      <w:numFmt w:val="bullet"/>
      <w:lvlText w:val="◦"/>
      <w:lvlJc w:val="left"/>
      <w:pPr>
        <w:ind w:left="4320" w:hanging="360"/>
      </w:pPr>
    </w:lvl>
    <w:lvl w:ilvl="6" w:tplc="438A57FC">
      <w:start w:val="1"/>
      <w:numFmt w:val="bullet"/>
      <w:lvlText w:val="•"/>
      <w:lvlJc w:val="left"/>
      <w:pPr>
        <w:ind w:left="5040" w:hanging="360"/>
      </w:pPr>
    </w:lvl>
    <w:lvl w:ilvl="7" w:tplc="E7DA1F06">
      <w:numFmt w:val="decimal"/>
      <w:lvlText w:val=""/>
      <w:lvlJc w:val="left"/>
    </w:lvl>
    <w:lvl w:ilvl="8" w:tplc="87B0E54A">
      <w:numFmt w:val="decimal"/>
      <w:lvlText w:val=""/>
      <w:lvlJc w:val="left"/>
    </w:lvl>
  </w:abstractNum>
  <w:num w:numId="1" w16cid:durableId="1092050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6E6"/>
    <w:rsid w:val="006A539E"/>
    <w:rsid w:val="007D0BAE"/>
    <w:rsid w:val="009776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D73AF"/>
  <w15:docId w15:val="{4FDD5A43-F500-424C-A10B-A3F6117FD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915</Words>
  <Characters>5220</Characters>
  <Application>Microsoft Office Word</Application>
  <DocSecurity>0</DocSecurity>
  <Lines>43</Lines>
  <Paragraphs>12</Paragraphs>
  <ScaleCrop>false</ScaleCrop>
  <Company>LightKey.Store</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Константин Зорин</cp:lastModifiedBy>
  <cp:revision>2</cp:revision>
  <dcterms:created xsi:type="dcterms:W3CDTF">2026-08-12T08:56:00Z</dcterms:created>
  <dcterms:modified xsi:type="dcterms:W3CDTF">2026-08-12T08:56:00Z</dcterms:modified>
</cp:coreProperties>
</file>