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E8784" w14:textId="77777777" w:rsidR="00C01700" w:rsidRDefault="00C01700" w:rsidP="00F05096">
      <w:pPr>
        <w:pStyle w:val="MdParagraph"/>
        <w:rPr>
          <w:color w:val="34322D"/>
          <w:shd w:val="clear" w:color="auto" w:fill="F8F8F7"/>
        </w:rPr>
      </w:pPr>
    </w:p>
    <w:p w14:paraId="263B6CF4" w14:textId="77777777" w:rsidR="00C01700" w:rsidRPr="00C01700" w:rsidRDefault="00C01700" w:rsidP="00F05096">
      <w:pPr>
        <w:pStyle w:val="MdParagraph"/>
        <w:rPr>
          <w:b/>
          <w:bCs/>
          <w:sz w:val="36"/>
          <w:szCs w:val="36"/>
        </w:rPr>
      </w:pPr>
      <w:r w:rsidRPr="00C01700">
        <w:rPr>
          <w:b/>
          <w:bCs/>
          <w:sz w:val="36"/>
          <w:szCs w:val="36"/>
        </w:rPr>
        <w:t>Кто на самом деле отвечает за ваш переезд: разбираем цепочку ответственности между экспедитором и перевозчиком</w:t>
      </w:r>
    </w:p>
    <w:p w14:paraId="2D5D6E8F" w14:textId="58E6B85B" w:rsidR="000B1EAD" w:rsidRPr="00C01700" w:rsidRDefault="00000000" w:rsidP="00F05096">
      <w:pPr>
        <w:pStyle w:val="MdParagraph"/>
      </w:pPr>
      <w:hyperlink r:id="rId5" w:history="1">
        <w:r w:rsidR="00F05096" w:rsidRPr="00F05096">
          <w:rPr>
            <w:rStyle w:val="a5"/>
          </w:rPr>
          <w:t>Международный переезд</w:t>
        </w:r>
      </w:hyperlink>
      <w:r w:rsidR="00F05096">
        <w:t xml:space="preserve"> — это сложный процесс, в котором задействовано множество участников: от упаковщиков до таможенных инспекторов. Часто клиент, подписывая договор с одной компанией, видит на погрузке автомобиль другого перевозчика. Это вызывает резонный вопрос: кто несет ответственность за сохранность вещей, если фактически их везет кто-то другой? Понимание того, как устроена ответственность в современной логистике, помогает избежать лишних тревог и правильно выстроить отношения с исполнителем.</w:t>
      </w:r>
    </w:p>
    <w:p w14:paraId="74672223" w14:textId="77777777" w:rsidR="000B1EAD" w:rsidRDefault="00000000">
      <w:pPr>
        <w:pStyle w:val="MdHeading3"/>
      </w:pPr>
      <w:r>
        <w:t>Как устроена современная логистика. Модель сетевого управления</w:t>
      </w:r>
    </w:p>
    <w:p w14:paraId="4307653F" w14:textId="0DC4077E" w:rsidR="00F05096" w:rsidRPr="00C01700" w:rsidRDefault="00000000" w:rsidP="00F05096">
      <w:pPr>
        <w:pStyle w:val="MdParagraph"/>
      </w:pPr>
      <w:r>
        <w:t>Индустрия международных перевозок давно отошла от модели, где одна компания выполняет все этапы пути исключительно собственными силами. Сегодня большинство крупных операторов работают по принципу сетевого управления. Привлечение специализированных субподрядчиков — фактических перевозчиков — является стандартом, продиктованным необходимостью.</w:t>
      </w:r>
    </w:p>
    <w:p w14:paraId="688274BF" w14:textId="04943A77" w:rsidR="00F05096" w:rsidRPr="00C01700" w:rsidRDefault="00F05096" w:rsidP="00F05096">
      <w:pPr>
        <w:pStyle w:val="MdParagraph"/>
      </w:pPr>
      <w:r>
        <w:t xml:space="preserve">Фото 1 Игорь </w:t>
      </w:r>
      <w:proofErr w:type="spellStart"/>
      <w:r>
        <w:t>Сложенко</w:t>
      </w:r>
      <w:proofErr w:type="spellEnd"/>
      <w:r>
        <w:t xml:space="preserve">, </w:t>
      </w:r>
      <w:proofErr w:type="spellStart"/>
      <w:r>
        <w:rPr>
          <w:lang w:val="en-US"/>
        </w:rPr>
        <w:t>Intrelocations</w:t>
      </w:r>
      <w:proofErr w:type="spellEnd"/>
    </w:p>
    <w:p w14:paraId="212A0158" w14:textId="459397DC" w:rsidR="000B1EAD" w:rsidRPr="00C01700" w:rsidRDefault="00000000" w:rsidP="00F05096">
      <w:pPr>
        <w:pStyle w:val="MdParagraph"/>
      </w:pPr>
      <w:r>
        <w:t>Для перевозки небольшого объема личных вещей на остров и крупногабаритной мебели в Европу требуются разные типы транспорта, специфические лицензии и допуски. Работа через сеть проверенных партнеров позволяет подбирать транспортное решение под конкретные параметры груза, обеспечивая необходимую маневренность и соблюдение графиков, что было бы крайне затруднительно при использовании только ограниченного собственного автопарка.</w:t>
      </w:r>
    </w:p>
    <w:p w14:paraId="638260BD" w14:textId="77777777" w:rsidR="000B1EAD" w:rsidRDefault="00000000">
      <w:pPr>
        <w:pStyle w:val="MdHeading3"/>
      </w:pPr>
      <w:r>
        <w:t>Юридическое «единое окно» и границы ответственности</w:t>
      </w:r>
    </w:p>
    <w:p w14:paraId="18479743" w14:textId="4A35A857" w:rsidR="000B1EAD" w:rsidRPr="00C01700" w:rsidRDefault="00000000" w:rsidP="00F05096">
      <w:pPr>
        <w:pStyle w:val="MdParagraph"/>
      </w:pPr>
      <w:r>
        <w:t xml:space="preserve">Для владельца груза самым важным является юридическое закрепление ответственности. Согласно законодательству и международным конвенциям (таким как КДПГ/CMR), экспедитор несет полную материальную и юридическую ответственность за действия привлеченных им третьих лиц точно так же, как за свои собственные. В правовом поле для заказчика существует только один ответственный субъект — компания, с которой заключен договор. В случае возникновения любых нештатных ситуаций по вине фактического перевозчика, претензии предъявляются именно основному исполнителю. Эта модель «единого окна» избавляет клиента от необходимости вникать во внутренние логистические споры или искать владельца грузовика в другой юрисдикции. Экспедитор берет на себя роль юридического гаранта, самостоятельно </w:t>
      </w:r>
      <w:proofErr w:type="spellStart"/>
      <w:r>
        <w:t>урегулируя</w:t>
      </w:r>
      <w:proofErr w:type="spellEnd"/>
      <w:r>
        <w:t xml:space="preserve"> вопросы с субподрядчиками и агентами.</w:t>
      </w:r>
    </w:p>
    <w:p w14:paraId="0D829539" w14:textId="77777777" w:rsidR="000B1EAD" w:rsidRDefault="00000000">
      <w:pPr>
        <w:pStyle w:val="MdHeading3"/>
      </w:pPr>
      <w:r>
        <w:t>Договор как фундамент безопасности</w:t>
      </w:r>
    </w:p>
    <w:p w14:paraId="47EBFB38" w14:textId="0787EE25" w:rsidR="000B1EAD" w:rsidRPr="00C01700" w:rsidRDefault="00000000" w:rsidP="00F05096">
      <w:pPr>
        <w:pStyle w:val="MdParagraph"/>
      </w:pPr>
      <w:r>
        <w:t xml:space="preserve">При выборе компании для релокации решающее значение имеет не количество машин на балансе, а содержание пунктов договора, касающихся ответственности за сохранность имущества. В грамотном документе всегда четко прописано, что исполнитель принимает на себя обязательства по организации всей цепочки перевозки </w:t>
      </w:r>
      <w:r>
        <w:lastRenderedPageBreak/>
        <w:t>и отвечает за груз на каждом этапе — от первичной упаковки до финальной разгрузки. Профессиональный подход делает личность конкретного водителя вторичной по отношению к обязательствам компании. Репутация и финансовая устойчивость экспедитора являются главными факторами надежности, так как именно он проводит аудит привлекаемых перевозчиков, проверяя их квалификацию и историю работы.</w:t>
      </w:r>
    </w:p>
    <w:p w14:paraId="431175F3" w14:textId="77777777" w:rsidR="000B1EAD" w:rsidRDefault="00000000">
      <w:pPr>
        <w:pStyle w:val="MdHeading3"/>
      </w:pPr>
      <w:r>
        <w:t>Механизмы контроля и роль страхования</w:t>
      </w:r>
    </w:p>
    <w:p w14:paraId="235E5EFC" w14:textId="04C7C16F" w:rsidR="000B1EAD" w:rsidRPr="00C01700" w:rsidRDefault="00000000" w:rsidP="00F05096">
      <w:pPr>
        <w:pStyle w:val="MdParagraph"/>
      </w:pPr>
      <w:r>
        <w:t>Привлечение стороннего перевозчика не означает потерю контроля над процессом. Каждый этап транзита находится под надзором специалистов экспедитора. Системы мониторинга позволяют в режиме реального времени отслеживать перемещение груза независимо от того, чья символика нанесена на борт автомобиля. Еще одним важным инструментом защиты является страхование груза. Страховой полис обеспечивает финансовую безопасность владельца вещей вне зависимости от того, кто является фактическим исполнителем на конкретном участке пути. Экспедитор берет на себя риски, связанные с выбором и мониторингом перевозчиков, обеспечивая прозрачность и предсказуемость результата для клиента.</w:t>
      </w:r>
    </w:p>
    <w:p w14:paraId="766EBD3D" w14:textId="77777777" w:rsidR="000B1EAD" w:rsidRDefault="00000000">
      <w:pPr>
        <w:pStyle w:val="MdHeading3"/>
      </w:pPr>
      <w:r>
        <w:t>Гибкость и надежность профессиональных цепочек</w:t>
      </w:r>
    </w:p>
    <w:p w14:paraId="115EC93F" w14:textId="77777777" w:rsidR="000B1EAD" w:rsidRDefault="00000000">
      <w:pPr>
        <w:pStyle w:val="MdParagraph"/>
      </w:pPr>
      <w:r>
        <w:t>Работа через экспедитора с развитой партнерской сетью обеспечивает необходимую гибкость. В случае технических неисправностей транспорта или задержек на границе, у крупного оператора всегда есть ресурсы для оперативной замены автомобиля или перестроения маршрута без ущерба для интересов заказчика. Индивидуальный перевозчик в подобной ситуации часто оказывается заложником обстоятельств, что ведет к срыву сроков. В конечном счете, международный переезд — это не просто перемещение коробок, а передача ответственности за имущество. Знание юридических основ и правил работы логистического рынка позволяет подойти к этому процессу осознанно и обеспечить безопасность своего переезда на каждом этапе пути.</w:t>
      </w:r>
    </w:p>
    <w:sectPr w:rsidR="000B1E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350C6"/>
    <w:multiLevelType w:val="multilevel"/>
    <w:tmpl w:val="09D2F90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35A6571"/>
    <w:multiLevelType w:val="hybridMultilevel"/>
    <w:tmpl w:val="E3C81A16"/>
    <w:lvl w:ilvl="0" w:tplc="1584D21E">
      <w:start w:val="1"/>
      <w:numFmt w:val="bullet"/>
      <w:lvlText w:val="●"/>
      <w:lvlJc w:val="left"/>
      <w:pPr>
        <w:ind w:left="720" w:hanging="360"/>
      </w:pPr>
    </w:lvl>
    <w:lvl w:ilvl="1" w:tplc="7E0C2A3A">
      <w:start w:val="1"/>
      <w:numFmt w:val="bullet"/>
      <w:lvlText w:val="○"/>
      <w:lvlJc w:val="left"/>
      <w:pPr>
        <w:ind w:left="1440" w:hanging="360"/>
      </w:pPr>
    </w:lvl>
    <w:lvl w:ilvl="2" w:tplc="78026FE6">
      <w:start w:val="1"/>
      <w:numFmt w:val="bullet"/>
      <w:lvlText w:val="■"/>
      <w:lvlJc w:val="left"/>
      <w:pPr>
        <w:ind w:left="2160" w:hanging="360"/>
      </w:pPr>
    </w:lvl>
    <w:lvl w:ilvl="3" w:tplc="5B3476A0">
      <w:start w:val="1"/>
      <w:numFmt w:val="bullet"/>
      <w:lvlText w:val="●"/>
      <w:lvlJc w:val="left"/>
      <w:pPr>
        <w:ind w:left="2880" w:hanging="360"/>
      </w:pPr>
    </w:lvl>
    <w:lvl w:ilvl="4" w:tplc="6F86E2B6">
      <w:start w:val="1"/>
      <w:numFmt w:val="bullet"/>
      <w:lvlText w:val="○"/>
      <w:lvlJc w:val="left"/>
      <w:pPr>
        <w:ind w:left="3600" w:hanging="360"/>
      </w:pPr>
    </w:lvl>
    <w:lvl w:ilvl="5" w:tplc="0A9078FE">
      <w:start w:val="1"/>
      <w:numFmt w:val="bullet"/>
      <w:lvlText w:val="■"/>
      <w:lvlJc w:val="left"/>
      <w:pPr>
        <w:ind w:left="4320" w:hanging="360"/>
      </w:pPr>
    </w:lvl>
    <w:lvl w:ilvl="6" w:tplc="092E6374">
      <w:start w:val="1"/>
      <w:numFmt w:val="bullet"/>
      <w:lvlText w:val="●"/>
      <w:lvlJc w:val="left"/>
      <w:pPr>
        <w:ind w:left="5040" w:hanging="360"/>
      </w:pPr>
    </w:lvl>
    <w:lvl w:ilvl="7" w:tplc="C338C81C">
      <w:start w:val="1"/>
      <w:numFmt w:val="bullet"/>
      <w:lvlText w:val="●"/>
      <w:lvlJc w:val="left"/>
      <w:pPr>
        <w:ind w:left="5760" w:hanging="360"/>
      </w:pPr>
    </w:lvl>
    <w:lvl w:ilvl="8" w:tplc="6F823E34">
      <w:start w:val="1"/>
      <w:numFmt w:val="bullet"/>
      <w:lvlText w:val="●"/>
      <w:lvlJc w:val="left"/>
      <w:pPr>
        <w:ind w:left="6480" w:hanging="360"/>
      </w:pPr>
    </w:lvl>
  </w:abstractNum>
  <w:abstractNum w:abstractNumId="2" w15:restartNumberingAfterBreak="0">
    <w:nsid w:val="6E283427"/>
    <w:multiLevelType w:val="hybridMultilevel"/>
    <w:tmpl w:val="0B08727E"/>
    <w:lvl w:ilvl="0" w:tplc="EBC6931A">
      <w:start w:val="1"/>
      <w:numFmt w:val="bullet"/>
      <w:lvlText w:val="•"/>
      <w:lvlJc w:val="left"/>
      <w:pPr>
        <w:ind w:left="720" w:hanging="360"/>
      </w:pPr>
    </w:lvl>
    <w:lvl w:ilvl="1" w:tplc="DAC65ACA">
      <w:start w:val="1"/>
      <w:numFmt w:val="bullet"/>
      <w:lvlText w:val="◦"/>
      <w:lvlJc w:val="left"/>
      <w:pPr>
        <w:ind w:left="1440" w:hanging="360"/>
      </w:pPr>
    </w:lvl>
    <w:lvl w:ilvl="2" w:tplc="48CC0608">
      <w:start w:val="1"/>
      <w:numFmt w:val="bullet"/>
      <w:lvlText w:val="•"/>
      <w:lvlJc w:val="left"/>
      <w:pPr>
        <w:ind w:left="2160" w:hanging="360"/>
      </w:pPr>
    </w:lvl>
    <w:lvl w:ilvl="3" w:tplc="C09CAAEE">
      <w:start w:val="1"/>
      <w:numFmt w:val="bullet"/>
      <w:lvlText w:val="◦"/>
      <w:lvlJc w:val="left"/>
      <w:pPr>
        <w:ind w:left="2880" w:hanging="360"/>
      </w:pPr>
    </w:lvl>
    <w:lvl w:ilvl="4" w:tplc="F2B2349A">
      <w:start w:val="1"/>
      <w:numFmt w:val="bullet"/>
      <w:lvlText w:val="•"/>
      <w:lvlJc w:val="left"/>
      <w:pPr>
        <w:ind w:left="3600" w:hanging="360"/>
      </w:pPr>
    </w:lvl>
    <w:lvl w:ilvl="5" w:tplc="4A480A7A">
      <w:start w:val="1"/>
      <w:numFmt w:val="bullet"/>
      <w:lvlText w:val="◦"/>
      <w:lvlJc w:val="left"/>
      <w:pPr>
        <w:ind w:left="4320" w:hanging="360"/>
      </w:pPr>
    </w:lvl>
    <w:lvl w:ilvl="6" w:tplc="309C3C74">
      <w:start w:val="1"/>
      <w:numFmt w:val="bullet"/>
      <w:lvlText w:val="•"/>
      <w:lvlJc w:val="left"/>
      <w:pPr>
        <w:ind w:left="5040" w:hanging="360"/>
      </w:pPr>
    </w:lvl>
    <w:lvl w:ilvl="7" w:tplc="BBECCBD6">
      <w:numFmt w:val="decimal"/>
      <w:lvlText w:val=""/>
      <w:lvlJc w:val="left"/>
    </w:lvl>
    <w:lvl w:ilvl="8" w:tplc="49FCBA44">
      <w:numFmt w:val="decimal"/>
      <w:lvlText w:val=""/>
      <w:lvlJc w:val="left"/>
    </w:lvl>
  </w:abstractNum>
  <w:num w:numId="1" w16cid:durableId="1033920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EAD"/>
    <w:rsid w:val="000B1EAD"/>
    <w:rsid w:val="00B36FD9"/>
    <w:rsid w:val="00C01700"/>
    <w:rsid w:val="00E7489E"/>
    <w:rsid w:val="00F050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AB6B"/>
  <w15:docId w15:val="{38BF146B-36A8-4072-989C-142DB4BA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a9">
    <w:name w:val="Unresolved Mention"/>
    <w:basedOn w:val="a0"/>
    <w:uiPriority w:val="99"/>
    <w:semiHidden/>
    <w:unhideWhenUsed/>
    <w:rsid w:val="00F05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trelocations.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685</Words>
  <Characters>3909</Characters>
  <Application>Microsoft Office Word</Application>
  <DocSecurity>0</DocSecurity>
  <Lines>32</Lines>
  <Paragraphs>9</Paragraphs>
  <ScaleCrop>false</ScaleCrop>
  <Company>LightKey.Store</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Константин Зорин</cp:lastModifiedBy>
  <cp:revision>3</cp:revision>
  <dcterms:created xsi:type="dcterms:W3CDTF">2026-07-28T06:54:00Z</dcterms:created>
  <dcterms:modified xsi:type="dcterms:W3CDTF">2026-07-28T08:31:00Z</dcterms:modified>
</cp:coreProperties>
</file>