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Из Чикаго в Симферополь или как провезти электроинструмент и не получить статус коммерческой партии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Электроинструмент в личном переезде выглядит безобидно ровно до таможни. Несколько профессиональных машинок в одной отправке инспектор вправе счесть коммерческой партией, и тогда груз останавливают, а льгота на личные вещи не применяется.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Кейс Оксаны, вернувшейся с семьёй из Чикаго в Симферополь, показывает, как снимается этот риск и почему серийные номера в описи работают убедительнее устных объяснений.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Индивидуальный запрос. Мебель из массива и профессиональный инструмент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Семья возвращалась в Россию после длительного проживания в США. К перевозке готовили 28 м³ имущества общим весом 3 400 кг, отправка шла морским 20-футовым контейнером в формате FCL, то есть контейнер занимал груз только этой семьи.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 был разнородным, мебель из массива, велосипеды, домашний кинотеатр, книги и личный архив. Отдельную сложность создавал профессиональный ручной электроинструмент, которого набралось заметное количество.</w:t>
      </w:r>
    </w:p>
    <w:p>
      <w:pPr>
        <w:spacing w:after="200" w:before="160"/>
      </w:pPr>
      <w:r>
        <w:rPr>
          <w:rFonts w:ascii="Times New Roman" w:cs="Times New Roman" w:eastAsia="Times New Roman" w:hAnsi="Times New Roman"/>
          <w:i/>
          <w:iCs/>
          <w:color w:val="808080"/>
          <w:sz w:val="22"/>
          <w:szCs w:val="22"/>
        </w:rPr>
        <w:t xml:space="preserve">Фото 1. Игорь Сложенко, Intrelocations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Разборка и упаковка. Как готовили мебель из массива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Мебель разобрали и упаковали поэлементно. Для защиты использовали пятислойный картон, стрейч-плёнку и дополнительные защитные материалы, рассчитанные на длительный морской транзит.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Такая подготовка решает сразу две задачи. Разобранная мебель занимает меньше объёма в контейнере, а поэлементная упаковка исключает повреждения при перегрузках.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Серийные номера в описи. Как сняли риск коммерческой партии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Инструмент готовили к декларированию как имущество для личного пользования. В описи указали наименования, количество и серийные номера каждой позиции.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Серийный номер превращает абстрактную партию инструмента в конкретный перечень вещей, принадлежащих одному человеку. Параллельно собрали документы, подтверждающие проживание клиента в США более двенадцати месяцев, и подготовили пакет для льготного ввоза личных вещей.</w:t>
      </w:r>
    </w:p>
    <w:p>
      <w:pPr>
        <w:spacing w:after="200" w:before="160"/>
      </w:pPr>
      <w:r>
        <w:rPr>
          <w:rFonts w:ascii="Times New Roman" w:cs="Times New Roman" w:eastAsia="Times New Roman" w:hAnsi="Times New Roman"/>
          <w:i/>
          <w:iCs/>
          <w:color w:val="808080"/>
          <w:sz w:val="22"/>
          <w:szCs w:val="22"/>
        </w:rPr>
        <w:t xml:space="preserve">Фото 2. Упаковка мебели перед отправкой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Транзит 105 дней. Морской контейнер и доставка по России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Отправку организовали морской контейнерной перевозкой с последующей доставкой до адреса в Симферополе. Общий срок проекта от погрузки в Чикаго до выдачи груза составил 105 дней.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Результат. Беспошлинный ввоз без споров об инструменте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Груз прошёл таможенное оформление без признания имущества коммерческой партией. Личные вещи были ввезены в рамках беспошлинной квоты, а проект выполнен под ключ за 105 дней.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Кейс Оксаны подтверждает, что спорные категории груза снимаются не на таможне, а в описи. Наименование, количество и серийный номер в документе работают надёжнее любых объяснений на посту.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Из Чикаго в Симферополь или как провезти электроинструмент и не получить статус коммерческой партии</dc:title>
  <dc:creator>IntRelocations</dc:creator>
  <cp:lastModifiedBy>Un-named</cp:lastModifiedBy>
  <cp:revision>1</cp:revision>
  <dcterms:created xsi:type="dcterms:W3CDTF">2026-10-12T05:40:12.215Z</dcterms:created>
  <dcterms:modified xsi:type="dcterms:W3CDTF">2026-10-12T05:40:12.225Z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