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thesis defense transcript</w:t>
      </w:r>
    </w:p>
    <w:p>
      <w:pPr>
        <w:pStyle w:val="Heading2"/>
      </w:pPr>
      <w:r>
        <w:t>Data Driven Cognitive Phenotyping in Acquired Brain Injury</w:t>
      </w:r>
    </w:p>
    <w:p>
      <w:pPr>
        <w:pStyle w:val="Heading1"/>
      </w:pPr>
      <w:r>
        <w:t>Expanded script and rehearsal guidance</w:t>
      </w:r>
    </w:p>
    <w:p>
      <w:r>
        <w:t>This transcript follows all 27 slides of the thesis defense. It gives a full spoken explanation of the findings, with added detail on the methods, chart interpretation and limits of the conclusions. Each slide starts on a new page.</w:t>
      </w:r>
    </w:p>
    <w:p>
      <w:pPr>
        <w:pStyle w:val="Heading2"/>
      </w:pPr>
      <w:r>
        <w:t>The 15 minute defense</w:t>
      </w:r>
    </w:p>
    <w:p>
      <w:r>
        <w:t>The regular-text paragraphs on slides 1 to 17 retain the 1,614-word core script. Use these paragraphs for the timed presentation. The core time slots total 15 minutes and allow for pauses, reading out numbers and referring to the charts. Actual timing depends on your speaking pace.</w:t>
      </w:r>
    </w:p>
    <w:p>
      <w:pPr>
        <w:pStyle w:val="Heading2"/>
      </w:pPr>
      <w:r>
        <w:t>The expanded explanation</w:t>
      </w:r>
    </w:p>
    <w:p>
      <w:r>
        <w:t>Including the italic paragraphs labelled Optional detail brings the main-slide script to 3,327 words. Read these passages in sequence for a fuller rehearsal or use them when an examiner asks for more explanation. At 120 to 135 written words per minute, the expanded main script alone takes approximately 25 to 28 minutes, before extra pauses and reading numerical values aloud. It will not fit the 15-minute slot in full.</w:t>
      </w:r>
    </w:p>
    <w:p>
      <w:pPr>
        <w:pStyle w:val="Heading2"/>
      </w:pPr>
      <w:r>
        <w:t>Backup slide answers</w:t>
      </w:r>
    </w:p>
    <w:p>
      <w:r>
        <w:t>Slides 18 to 27 contain 2,468 words of expanded answers for questions and discussion. Use the relevant answer when that slide is needed. These answers are outside the 15-minute talk.</w:t>
      </w:r>
    </w:p>
    <w:p>
      <w:pPr>
        <w:pStyle w:val="Heading2"/>
      </w:pPr>
      <w:r>
        <w:t>Speaking from the script</w:t>
      </w:r>
    </w:p>
    <w:p>
      <w:r>
        <w:t>Read the spoken paragraphs, rather than the headings or timing labels. Pronounce ARI as A-R-I and read decimal digits clearly. Pause after an important comparison so the audience can look at the chart. The existing speaking guide provides further term definitions.</w:t>
      </w:r>
    </w:p>
    <w:p>
      <w:r>
        <w:br w:type="page"/>
      </w:r>
    </w:p>
    <w:p>
      <w:pPr>
        <w:pStyle w:val="Heading2"/>
      </w:pPr>
      <w:r>
        <w:t>Slide 1  Data Driven Cognitive Phenotyping in Acquired Brain Injury</w:t>
      </w:r>
    </w:p>
    <w:p>
      <w:pPr>
        <w:pStyle w:val="Timing"/>
      </w:pPr>
      <w:r>
        <w:t>15-minute core only    0:00 to 0:30    Target 30 seconds</w:t>
      </w:r>
    </w:p>
    <w:p>
      <w:pPr>
        <w:pStyle w:val="Rehearsalnote"/>
      </w:pPr>
      <w:r>
        <w:t>Core 69 words    Expanded 145 words</w:t>
      </w:r>
    </w:p>
    <w:p>
      <w:pPr>
        <w:keepLines/>
      </w:pPr>
      <w:r>
        <w:t>Good morning. My name is Zoltan Kunos, and today I'll present my thesis on cognitive phenotyping in acquired brain injury.</w:t>
      </w:r>
    </w:p>
    <w:p>
      <w:pPr>
        <w:pStyle w:val="Detaillabel"/>
      </w:pPr>
      <w:r>
        <w:t>Optional detail</w:t>
      </w:r>
    </w:p>
    <w:p>
      <w:pPr>
        <w:pStyle w:val="Optionaldetail"/>
        <w:keepLines/>
      </w:pPr>
      <w:r>
        <w:t>By cognitive phenotyping, I mean looking for patterns in how people perform across cognitive tests. The idea is to see whether patients with similar combinations of scores can be described together. That could make a complicated dataset easier to understand. But before giving those groups a clinical interpretation, I need to know how dependent they are on the analysis itself. That is why checking the stability of the groups is a central part of this thesis.</w:t>
      </w:r>
    </w:p>
    <w:p>
      <w:pPr>
        <w:keepLines/>
      </w:pPr>
      <w:r>
        <w:t>I wanted to find out whether routine cognitive test results could identify repeatable groups of patients. I also examined how much those groups depend on the way we prepare the data, particularly when tests are missing. I'll explain what I found and how far we can interpret those findings.</w:t>
      </w:r>
    </w:p>
    <w:p>
      <w:r>
        <w:br w:type="page"/>
      </w:r>
    </w:p>
    <w:p>
      <w:pPr>
        <w:pStyle w:val="Heading2"/>
      </w:pPr>
      <w:r>
        <w:t>Slide 2  Research question</w:t>
      </w:r>
    </w:p>
    <w:p>
      <w:pPr>
        <w:pStyle w:val="Timing"/>
      </w:pPr>
      <w:r>
        <w:t>15-minute core only    0:30 to 1:15    Target 45 seconds</w:t>
      </w:r>
    </w:p>
    <w:p>
      <w:pPr>
        <w:pStyle w:val="Rehearsalnote"/>
      </w:pPr>
      <w:r>
        <w:t>Core 89 words    Expanded 187 words</w:t>
      </w:r>
    </w:p>
    <w:p>
      <w:pPr>
        <w:keepLines/>
      </w:pPr>
      <w:r>
        <w:t>The question behind the project is whether patients fall into distinct cognitive profiles. By a profile, I mean a pattern of performance across areas such as memory, language and attention.</w:t>
      </w:r>
    </w:p>
    <w:p>
      <w:pPr>
        <w:pStyle w:val="Detaillabel"/>
      </w:pPr>
      <w:r>
        <w:t>Optional detail</w:t>
      </w:r>
    </w:p>
    <w:p>
      <w:pPr>
        <w:pStyle w:val="Optionaldetail"/>
        <w:keepLines/>
      </w:pPr>
      <w:r>
        <w:t>There are two possibilities worth distinguishing. Patients might mainly differ in their overall level of performance, with broadly similar profile shapes. Alternatively, they might show different combinations of relative strengths and difficulties across domains. A clustering method can divide either kind of data into groups, so the existence of labels alone doesn't tell me which explanation is supported.</w:t>
      </w:r>
    </w:p>
    <w:p>
      <w:pPr>
        <w:keepLines/>
      </w:pPr>
      <w:r>
        <w:t>The answer needs some care. I did find groups that repeated well under particular analysis choices. But some reasonable changes to those choices moved patients between groups.</w:t>
      </w:r>
    </w:p>
    <w:p>
      <w:pPr>
        <w:pStyle w:val="Detaillabel"/>
      </w:pPr>
      <w:r>
        <w:t>Optional detail</w:t>
      </w:r>
    </w:p>
    <w:p>
      <w:pPr>
        <w:pStyle w:val="Optionaldetail"/>
        <w:keepLines/>
      </w:pPr>
      <w:r>
        <w:t>For a clinical interpretation, I would also want evidence from something outside the scores used to create the groups. For example, an independently measured functional outcome could help assess whether membership carries useful information. That evidence is still needed here.</w:t>
      </w:r>
    </w:p>
    <w:p>
      <w:pPr>
        <w:keepLines/>
      </w:pPr>
      <w:r>
        <w:t>So, throughout this talk, I'll separate repeatability from clinical meaning. A group can be easy to reproduce without representing a distinct clinical phenotype, or a patient type that has demonstrated clinical relevance.</w:t>
      </w:r>
    </w:p>
    <w:p>
      <w:r>
        <w:br w:type="page"/>
      </w:r>
    </w:p>
    <w:p>
      <w:pPr>
        <w:pStyle w:val="Heading2"/>
      </w:pPr>
      <w:r>
        <w:t>Slide 3  A large cohort with incomplete assessments</w:t>
      </w:r>
    </w:p>
    <w:p>
      <w:pPr>
        <w:pStyle w:val="Timing"/>
      </w:pPr>
      <w:r>
        <w:t>15-minute core only    1:15 to 2:10    Target 55 seconds</w:t>
      </w:r>
    </w:p>
    <w:p>
      <w:pPr>
        <w:pStyle w:val="Rehearsalnote"/>
      </w:pPr>
      <w:r>
        <w:t>Core 97 words    Expanded 212 words</w:t>
      </w:r>
    </w:p>
    <w:p>
      <w:pPr>
        <w:keepLines/>
      </w:pPr>
      <w:r>
        <w:t>The starting dataset contained 17,406 eligible assessments from 7,285 patients. Each assessment could contain fourteen tests covering six cognitive domains.</w:t>
      </w:r>
    </w:p>
    <w:p>
      <w:pPr>
        <w:keepLines/>
      </w:pPr>
      <w:r>
        <w:t>As the chart shows, 9,245 assessments were complete, while 8,161 had at least one missing test. That means just over half were complete. Restricting everything to complete assessments would therefore leave out a large part of the available data.</w:t>
      </w:r>
    </w:p>
    <w:p>
      <w:pPr>
        <w:pStyle w:val="Detaillabel"/>
      </w:pPr>
      <w:r>
        <w:t>Optional detail</w:t>
      </w:r>
    </w:p>
    <w:p>
      <w:pPr>
        <w:pStyle w:val="Optionaldetail"/>
        <w:keepLines/>
      </w:pPr>
      <w:r>
        <w:t>A missing test isn't a score of zero, and it doesn't tell me directly how the patient would have performed. Imputation estimates the missing entry from the information that is available. Those estimates depend on assumptions, so I compared different methods and repeated the analysis under different completed datasets. Also, a complete-case analysis answers a question about the patients with complete records, who may differ from those with missing tests.</w:t>
      </w:r>
    </w:p>
    <w:p>
      <w:pPr>
        <w:keepLines/>
      </w:pPr>
      <w:r>
        <w:t>There is another issue here. Some patients contributed several assessments. Those records are related, so I couldn't treat each assessment as a separate, independent patient. Both missing tests and repeated assessments shaped the way I designed the analysis.</w:t>
      </w:r>
    </w:p>
    <w:p>
      <w:pPr>
        <w:pStyle w:val="Detaillabel"/>
      </w:pPr>
      <w:r>
        <w:t>Optional detail</w:t>
      </w:r>
    </w:p>
    <w:p>
      <w:pPr>
        <w:pStyle w:val="Optionaldetail"/>
        <w:keepLines/>
      </w:pPr>
      <w:r>
        <w:t>This is why I keep the words assessment and patient separate. One refers to a recorded visit, while the other refers to the person who may contribute several visits. The distinction becomes especially important when evaluating whether results hold for people outside the fitting sample.</w:t>
      </w:r>
    </w:p>
    <w:p>
      <w:r>
        <w:br w:type="page"/>
      </w:r>
    </w:p>
    <w:p>
      <w:pPr>
        <w:pStyle w:val="Heading2"/>
      </w:pPr>
      <w:r>
        <w:t>Slide 4  Three analyses answer different questions</w:t>
      </w:r>
    </w:p>
    <w:p>
      <w:pPr>
        <w:pStyle w:val="Timing"/>
      </w:pPr>
      <w:r>
        <w:t>15-minute core only    2:10 to 3:15    Target 65 seconds</w:t>
      </w:r>
    </w:p>
    <w:p>
      <w:pPr>
        <w:pStyle w:val="Rehearsalnote"/>
      </w:pPr>
      <w:r>
        <w:t>Core 120 words    Expanded 220 words</w:t>
      </w:r>
    </w:p>
    <w:p>
      <w:pPr>
        <w:keepLines/>
      </w:pPr>
      <w:r>
        <w:t>I used three designs to answer different questions.</w:t>
      </w:r>
    </w:p>
    <w:p>
      <w:pPr>
        <w:keepLines/>
      </w:pPr>
      <w:r>
        <w:t>The historical discovery analysis looked for groups across assessment records. It used UMAP to represent the data in fewer dimensions, followed by HDBSCAN, which looks for dense groups.</w:t>
      </w:r>
    </w:p>
    <w:p>
      <w:pPr>
        <w:pStyle w:val="Detaillabel"/>
      </w:pPr>
      <w:r>
        <w:t>Optional detail</w:t>
      </w:r>
    </w:p>
    <w:p>
      <w:pPr>
        <w:pStyle w:val="Optionaldetail"/>
        <w:keepLines/>
      </w:pPr>
      <w:r>
        <w:t>UMAP changes the coordinates used to describe each record while emphasizing neighbourhood relationships. HDBSCAN then looks for regions where observations are concentrated, and it can leave some records unassigned as noise. Because the clustering follows the transformation, I also need to check whether separation remains visible in the cognitive-domain space.</w:t>
      </w:r>
    </w:p>
    <w:p>
      <w:pPr>
        <w:keepLines/>
      </w:pPr>
      <w:r>
        <w:t>The second design kept the transformation and assignment rule fixed, and changed how missing values were filled in. This tested whether imputation changed assignments within that fixed setup.</w:t>
      </w:r>
    </w:p>
    <w:p>
      <w:pPr>
        <w:keepLines/>
      </w:pPr>
      <w:r>
        <w:t>The patient extension went further. I fitted models separately and compared their assignments for the same held-out patients.</w:t>
      </w:r>
    </w:p>
    <w:p>
      <w:pPr>
        <w:pStyle w:val="Detaillabel"/>
      </w:pPr>
      <w:r>
        <w:t>Optional detail</w:t>
      </w:r>
    </w:p>
    <w:p>
      <w:pPr>
        <w:pStyle w:val="Optionaldetail"/>
        <w:keepLines/>
      </w:pPr>
      <w:r>
        <w:t>Holding a rule fixed isolates sensitivity to the completed values under that rule. Refitting also lets the estimated group boundaries move. That extra freedom is why independent refitting asks a more demanding and different question. I report the design alongside each agreement score so the number has a clear interpretation.</w:t>
      </w:r>
    </w:p>
    <w:p>
      <w:pPr>
        <w:keepLines/>
      </w:pPr>
      <w:r>
        <w:t>I measured agreement using the adjusted Rand index, or A-R-I. One means identical grouping, allowing for different label names. Around zero means agreement at chance level. These designs test different things, so their ARI values aren't directly interchangeable.</w:t>
      </w:r>
    </w:p>
    <w:p>
      <w:r>
        <w:br w:type="page"/>
      </w:r>
    </w:p>
    <w:p>
      <w:pPr>
        <w:pStyle w:val="Heading2"/>
      </w:pPr>
      <w:r>
        <w:t>Slide 5  Historical groups mainly differ in score level</w:t>
      </w:r>
    </w:p>
    <w:p>
      <w:pPr>
        <w:pStyle w:val="Timing"/>
      </w:pPr>
      <w:r>
        <w:t>15-minute core only    3:15 to 4:10    Target 55 seconds</w:t>
      </w:r>
    </w:p>
    <w:p>
      <w:pPr>
        <w:pStyle w:val="Rehearsalnote"/>
      </w:pPr>
      <w:r>
        <w:t>Core 101 words    Expanded 201 words</w:t>
      </w:r>
    </w:p>
    <w:p>
      <w:pPr>
        <w:keepLines/>
      </w:pPr>
      <w:r>
        <w:t>The selected historical solution used MICE, which fills in missing values through a sequence of conditional models. It produced three groups containing 6,725, 6,328 and 4,353 assessment records.</w:t>
      </w:r>
    </w:p>
    <w:p>
      <w:pPr>
        <w:pStyle w:val="Detaillabel"/>
      </w:pPr>
      <w:r>
        <w:t>Optional detail</w:t>
      </w:r>
    </w:p>
    <w:p>
      <w:pPr>
        <w:pStyle w:val="Optionaldetail"/>
        <w:keepLines/>
      </w:pPr>
      <w:r>
        <w:t>These totals describe the historical assessment records. A patient with repeated assessments can contribute more than one record, so the totals shouldn't be read as the prevalence of three patient types. The labels also describe performance relative to this cohort, rather than independently established clinical categories.</w:t>
      </w:r>
    </w:p>
    <w:p>
      <w:pPr>
        <w:keepLines/>
      </w:pPr>
      <w:r>
        <w:t>The main difference between them was overall score level. To check their separation, I used the silhouette score, which compares how close observations are to their own group and to other groups.</w:t>
      </w:r>
    </w:p>
    <w:p>
      <w:pPr>
        <w:keepLines/>
      </w:pPr>
      <w:r>
        <w:t>For exactly the same labels, silhouette was 0.526 in the UMAP representation, but only 0.079 in the robust six-domain space. So the representation made a substantial difference to apparent separation. I interpret these historical groups as score bands within this cohort.</w:t>
      </w:r>
    </w:p>
    <w:p>
      <w:pPr>
        <w:pStyle w:val="Detaillabel"/>
      </w:pPr>
      <w:r>
        <w:t>Optional detail</w:t>
      </w:r>
    </w:p>
    <w:p>
      <w:pPr>
        <w:pStyle w:val="Optionaldetail"/>
        <w:keepLines/>
      </w:pPr>
      <w:r>
        <w:t>The useful comparison in this chart is that membership stays exactly the same while the space used to calculate distances changes. That lets me see how much the separation score depends on geometry. The much smaller silhouette in domain space makes me cautious about interpreting the visually separated groups as sharply distinct cognitive subtypes.</w:t>
      </w:r>
    </w:p>
    <w:p>
      <w:r>
        <w:br w:type="page"/>
      </w:r>
    </w:p>
    <w:p>
      <w:pPr>
        <w:pStyle w:val="Heading2"/>
      </w:pPr>
      <w:r>
        <w:t>Slide 6  The original hypotheses have qualified support</w:t>
      </w:r>
    </w:p>
    <w:p>
      <w:pPr>
        <w:pStyle w:val="Timing"/>
      </w:pPr>
      <w:r>
        <w:t>15-minute core only    4:10 to 5:15    Target 65 seconds</w:t>
      </w:r>
    </w:p>
    <w:p>
      <w:pPr>
        <w:pStyle w:val="Rehearsalnote"/>
      </w:pPr>
      <w:r>
        <w:t>Core 118 words    Expanded 219 words</w:t>
      </w:r>
    </w:p>
    <w:p>
      <w:pPr>
        <w:keepLines/>
      </w:pPr>
      <w:r>
        <w:t>This slide brings together the four original hypotheses.</w:t>
      </w:r>
    </w:p>
    <w:p>
      <w:pPr>
        <w:keepLines/>
      </w:pPr>
      <w:r>
        <w:t>For cluster structure, the matched groups had moderate overlap across resamples. Their Jaccard scores ranged from 0.509 to 0.630, and the number of groups varied from three to five.</w:t>
      </w:r>
    </w:p>
    <w:p>
      <w:pPr>
        <w:pStyle w:val="Detaillabel"/>
      </w:pPr>
      <w:r>
        <w:t>Optional detail</w:t>
      </w:r>
    </w:p>
    <w:p>
      <w:pPr>
        <w:pStyle w:val="Optionaldetail"/>
        <w:keepLines/>
      </w:pPr>
      <w:r>
        <w:t>Jaccard overlap looks at the members shared by a matched pair of groups relative to everyone included in either group. If a group keeps nearly the same members after resampling, that overlap is high. The moderate values here show that group boundaries and membership aren't completely stable.</w:t>
      </w:r>
    </w:p>
    <w:p>
      <w:pPr>
        <w:keepLines/>
      </w:pPr>
      <w:r>
        <w:t>Agreement across imputations was stronger within the fixed reference, with median ARI of 0.739.</w:t>
      </w:r>
    </w:p>
    <w:p>
      <w:pPr>
        <w:keepLines/>
      </w:pPr>
      <w:r>
        <w:t>The groups also had a small association with recorded clinical units. Cramér's V, a measure of categorical association, was 0.162. Whether the groups added useful predictive information remained uncertain.</w:t>
      </w:r>
    </w:p>
    <w:p>
      <w:pPr>
        <w:keepLines/>
      </w:pPr>
      <w:r>
        <w:t>Finally, combining tests into domains reduced redundancy. Mean VIF, the variance inflation factor, fell from 2.77 to 1.88, with little change in separation.</w:t>
      </w:r>
    </w:p>
    <w:p>
      <w:pPr>
        <w:pStyle w:val="Detaillabel"/>
      </w:pPr>
      <w:r>
        <w:t>Optional detail</w:t>
      </w:r>
    </w:p>
    <w:p>
      <w:pPr>
        <w:pStyle w:val="Optionaldetail"/>
        <w:keepLines/>
      </w:pPr>
      <w:r>
        <w:t>VIF tells us how strongly one variable can be explained by the others. Lower values after aggregation suggest less redundant information among the domain summaries. That helps numerical conditioning, but it doesn't establish that the chosen domain construction is the best clinical representation. Each hypothesis therefore supports a specific claim, with its own limits.</w:t>
      </w:r>
    </w:p>
    <w:p>
      <w:pPr>
        <w:keepLines/>
      </w:pPr>
      <w:r>
        <w:t>These results need the earlier caveat about repeated patient assessments, which limits the uncertainty estimates.</w:t>
      </w:r>
    </w:p>
    <w:p>
      <w:r>
        <w:br w:type="page"/>
      </w:r>
    </w:p>
    <w:p>
      <w:pPr>
        <w:pStyle w:val="Heading2"/>
      </w:pPr>
      <w:r>
        <w:t>Slide 7  Patient level discovery and validation</w:t>
      </w:r>
    </w:p>
    <w:p>
      <w:pPr>
        <w:pStyle w:val="Timing"/>
      </w:pPr>
      <w:r>
        <w:t>15-minute core only    5:15 to 6:20    Target 65 seconds</w:t>
      </w:r>
    </w:p>
    <w:p>
      <w:pPr>
        <w:pStyle w:val="Rehearsalnote"/>
      </w:pPr>
      <w:r>
        <w:t>Core 111 words    Expanded 213 words</w:t>
      </w:r>
    </w:p>
    <w:p>
      <w:pPr>
        <w:keepLines/>
      </w:pPr>
      <w:r>
        <w:t>To address that dependence, I used one index assessment per patient in the extension. Here, that means the earliest eligible assessment.</w:t>
      </w:r>
    </w:p>
    <w:p>
      <w:pPr>
        <w:keepLines/>
      </w:pPr>
      <w:r>
        <w:t>I split the 7,285 patients into 5,828 for discovery and 1,457 for validation. No patient appeared in both sets.</w:t>
      </w:r>
    </w:p>
    <w:p>
      <w:pPr>
        <w:pStyle w:val="Detaillabel"/>
      </w:pPr>
      <w:r>
        <w:t>Optional detail</w:t>
      </w:r>
    </w:p>
    <w:p>
      <w:pPr>
        <w:pStyle w:val="Optionaldetail"/>
        <w:keepLines/>
      </w:pPr>
      <w:r>
        <w:t>The discovery set is where I estimate the transformations and fit the models. The validation set contains people kept aside for evaluation. If the same patient contributed records to both sets, the two sides could share person-specific information. Keeping patients separate reduces that problem and makes the unit of evaluation clearer.</w:t>
      </w:r>
    </w:p>
    <w:p>
      <w:pPr>
        <w:keepLines/>
      </w:pPr>
      <w:r>
        <w:t>I fitted preprocessing, imputation and domain scaling using discovery data. Each fitted clustering model then assigned the validation patients to groups. Repeating this process let me compare assignments for the same held-out people.</w:t>
      </w:r>
    </w:p>
    <w:p>
      <w:pPr>
        <w:pStyle w:val="Detaillabel"/>
      </w:pPr>
      <w:r>
        <w:t>Optional detail</w:t>
      </w:r>
    </w:p>
    <w:p>
      <w:pPr>
        <w:pStyle w:val="Optionaldetail"/>
        <w:keepLines/>
      </w:pPr>
      <w:r>
        <w:t>The validation patients receive assignments from each independently fitted model. I then compare those assignments across repetitions. This measures whether the models group the same held-out people similarly. There is no independently known correct cluster label in this comparison, so high agreement should be understood as repeatability rather than classification accuracy.</w:t>
      </w:r>
    </w:p>
    <w:p>
      <w:pPr>
        <w:keepLines/>
      </w:pPr>
      <w:r>
        <w:t>That gives a clearer test of repeatability at patient level. There is still a limitation, though. The retained tests had already been selected using the full historical cohort, so this split doesn't independently validate that earlier feature selection.</w:t>
      </w:r>
    </w:p>
    <w:p>
      <w:r>
        <w:br w:type="page"/>
      </w:r>
    </w:p>
    <w:p>
      <w:pPr>
        <w:pStyle w:val="Heading2"/>
      </w:pPr>
      <w:r>
        <w:t>Slide 8  K means groups repeat across imputation draws</w:t>
      </w:r>
    </w:p>
    <w:p>
      <w:pPr>
        <w:pStyle w:val="Timing"/>
      </w:pPr>
      <w:r>
        <w:t>15-minute core only    6:20 to 7:30    Target 70 seconds</w:t>
      </w:r>
    </w:p>
    <w:p>
      <w:pPr>
        <w:pStyle w:val="Rehearsalnote"/>
      </w:pPr>
      <w:r>
        <w:t>Core 107 words    Expanded 206 words</w:t>
      </w:r>
    </w:p>
    <w:p>
      <w:pPr>
        <w:keepLines/>
      </w:pPr>
      <w:r>
        <w:t>The first patient-level result was strong agreement across twenty stochastic imputations. Each draw filled in missing values differently under the same model, and I fitted the clustering again each time.</w:t>
      </w:r>
    </w:p>
    <w:p>
      <w:pPr>
        <w:keepLines/>
      </w:pPr>
      <w:r>
        <w:t>For k-means, mean validation ARI was 0.959 with two groups and 0.935 with three. It dropped to 0.738 with four groups. Sampled PAM, a method that represents groups using actual observations, was less consistent.</w:t>
      </w:r>
    </w:p>
    <w:p>
      <w:pPr>
        <w:keepLines/>
      </w:pPr>
      <w:r>
        <w:t>For three-group k-means, fifty patient subsamples gave mean ARI of 0.968. Fifty different initializations gave 1.000.</w:t>
      </w:r>
    </w:p>
    <w:p>
      <w:pPr>
        <w:pStyle w:val="Detaillabel"/>
      </w:pPr>
      <w:r>
        <w:t>Optional detail</w:t>
      </w:r>
    </w:p>
    <w:p>
      <w:pPr>
        <w:pStyle w:val="Optionaldetail"/>
        <w:keepLines/>
      </w:pPr>
      <w:r>
        <w:t>The three checks vary different parts of the procedure. Imputation draws vary the estimated missing values. Subsampling varies which discovery patients contribute to the fit. Initialization varies the starting points used by k-means. Similar assignments across these checks suggest that the three-group reference isn't highly sensitive to those particular sources of variation.</w:t>
      </w:r>
    </w:p>
    <w:p>
      <w:pPr>
        <w:keepLines/>
      </w:pPr>
      <w:r>
        <w:t>These checks show strong repeatability for that setup. But they hold the representation and imputation model fixed. I then checked what happened when I changed those choices.</w:t>
      </w:r>
    </w:p>
    <w:p>
      <w:pPr>
        <w:pStyle w:val="Detaillabel"/>
      </w:pPr>
      <w:r>
        <w:t>Optional detail</w:t>
      </w:r>
    </w:p>
    <w:p>
      <w:pPr>
        <w:pStyle w:val="Optionaldetail"/>
        <w:keepLines/>
      </w:pPr>
      <w:r>
        <w:t>The exact agreement across the fifty initialization runs applies to the runs I tested. It doesn't guarantee the same result for every possible dataset or starting point. More importantly, these checks don't settle how the domains should be weighted, which is the issue on the next slide.</w:t>
      </w:r>
    </w:p>
    <w:p>
      <w:r>
        <w:br w:type="page"/>
      </w:r>
    </w:p>
    <w:p>
      <w:pPr>
        <w:pStyle w:val="Heading2"/>
      </w:pPr>
      <w:r>
        <w:t>Slide 9  Scaling changes who belongs to each group</w:t>
      </w:r>
    </w:p>
    <w:p>
      <w:pPr>
        <w:pStyle w:val="Timing"/>
      </w:pPr>
      <w:r>
        <w:t>15-minute core only    7:30 to 8:40    Target 70 seconds</w:t>
      </w:r>
    </w:p>
    <w:p>
      <w:pPr>
        <w:pStyle w:val="Rehearsalnote"/>
      </w:pPr>
      <w:r>
        <w:t>Core 103 words    Expanded 211 words</w:t>
      </w:r>
    </w:p>
    <w:p>
      <w:pPr>
        <w:keepLines/>
      </w:pPr>
      <w:r>
        <w:t>Scaling turned out to matter a lot.</w:t>
      </w:r>
    </w:p>
    <w:p>
      <w:pPr>
        <w:keepLines/>
      </w:pPr>
      <w:r>
        <w:t>Robust scaling uses medians and interquartile ranges, which are less sensitive to extreme values. But the scaled domains can still have different variances. In these data, language still had variance 7.93 and orientation 5.76, compared with about 0.44 for memory.</w:t>
      </w:r>
    </w:p>
    <w:p>
      <w:pPr>
        <w:keepLines/>
      </w:pPr>
      <w:r>
        <w:t>That matters because k-means uses squared distances. A domain with more spread can have more influence on those distances.</w:t>
      </w:r>
    </w:p>
    <w:p>
      <w:pPr>
        <w:pStyle w:val="Detaillabel"/>
      </w:pPr>
      <w:r>
        <w:t>Optional detail</w:t>
      </w:r>
    </w:p>
    <w:p>
      <w:pPr>
        <w:pStyle w:val="Optionaldetail"/>
        <w:keepLines/>
      </w:pPr>
      <w:r>
        <w:t>For example, two patients can differ in both language and memory, but the contribution of each difference to the overall distance depends on the scale. Changing the scale changes what the algorithm treats as a large difference. So scaling is part of the model's definition of similarity, and it can affect the groups even when no patient or test score has changed.</w:t>
      </w:r>
    </w:p>
    <w:p>
      <w:pPr>
        <w:keepLines/>
      </w:pPr>
      <w:r>
        <w:t>I therefore compared it with scaling that gives every domain variance one. With the same patients and three groups, ARI between the two solutions was only 0.243. Membership changed substantially, and neither weighting has been clinically validated.</w:t>
      </w:r>
    </w:p>
    <w:p>
      <w:pPr>
        <w:pStyle w:val="Detaillabel"/>
      </w:pPr>
      <w:r>
        <w:t>Optional detail</w:t>
      </w:r>
    </w:p>
    <w:p>
      <w:pPr>
        <w:pStyle w:val="Optionaldetail"/>
        <w:keepLines/>
      </w:pPr>
      <w:r>
        <w:t>Giving every domain variance one is another analytical choice. It doesn't establish that all domains should have equal clinical importance. The comparison shows how much that choice matters here. To prefer one weighting for clinical use, I would need evidence linked to a relevant external outcome.</w:t>
      </w:r>
    </w:p>
    <w:p>
      <w:r>
        <w:br w:type="page"/>
      </w:r>
    </w:p>
    <w:p>
      <w:pPr>
        <w:pStyle w:val="Heading2"/>
      </w:pPr>
      <w:r>
        <w:t>Slide 10  The alternative scalings produce different profiles</w:t>
      </w:r>
    </w:p>
    <w:p>
      <w:pPr>
        <w:pStyle w:val="Timing"/>
      </w:pPr>
      <w:r>
        <w:t>15-minute core only    8:40 to 9:50    Target 70 seconds</w:t>
      </w:r>
    </w:p>
    <w:p>
      <w:pPr>
        <w:pStyle w:val="Rehearsalnote"/>
      </w:pPr>
      <w:r>
        <w:t>Core 113 words    Expanded 226 words</w:t>
      </w:r>
    </w:p>
    <w:p>
      <w:pPr>
        <w:keepLines/>
      </w:pPr>
      <w:r>
        <w:t>Here we can see what that change actually looks like.</w:t>
      </w:r>
    </w:p>
    <w:p>
      <w:pPr>
        <w:keepLines/>
      </w:pPr>
      <w:r>
        <w:t>Both panels show the same direction-aligned domain scores on a shared vertical scale. Higher values mean better performance relative to the reference used to construct the scores.</w:t>
      </w:r>
    </w:p>
    <w:p>
      <w:pPr>
        <w:pStyle w:val="Detaillabel"/>
      </w:pPr>
      <w:r>
        <w:t>Optional detail</w:t>
      </w:r>
    </w:p>
    <w:p>
      <w:pPr>
        <w:pStyle w:val="Optionaldetail"/>
        <w:keepLines/>
      </w:pPr>
      <w:r>
        <w:t>To read these charts, I first look at the overall height of each line, and then at its shape across domains. The height summarizes average performance level in that group. Changes in shape show relative differences between domains. Because the panels share a vertical scale, those features can be compared without a separate axis range exaggerating one panel.</w:t>
      </w:r>
    </w:p>
    <w:p>
      <w:pPr>
        <w:keepLines/>
      </w:pPr>
      <w:r>
        <w:t>Under robust scaling, the validation groups contained 1,221, 185 and 51 patients. The smaller groups had quite marked patterns in particular domains. Under equal-domain scaling, the group sizes were 194, 571 and 692, and the profiles looked different.</w:t>
      </w:r>
    </w:p>
    <w:p>
      <w:pPr>
        <w:pStyle w:val="Detaillabel"/>
      </w:pPr>
      <w:r>
        <w:t>Optional detail</w:t>
      </w:r>
    </w:p>
    <w:p>
      <w:pPr>
        <w:pStyle w:val="Optionaldetail"/>
        <w:keepLines/>
      </w:pPr>
      <w:r>
        <w:t>The change in group sizes is also informative. It shows that the alternative scaling does more than make the same groups look different on a plot. It produces a different division of the validation sample. A small group's striking average profile still needs to be interpreted alongside its size and the variation among its members.</w:t>
      </w:r>
    </w:p>
    <w:p>
      <w:pPr>
        <w:keepLines/>
      </w:pPr>
      <w:r>
        <w:t>The colours and labels belong to each model separately. R1 and E1 don't identify matching patients. These lines are also group averages, so they hide differences within groups. The same patients can therefore give quite different group summaries.</w:t>
      </w:r>
    </w:p>
    <w:p>
      <w:r>
        <w:br w:type="page"/>
      </w:r>
    </w:p>
    <w:p>
      <w:pPr>
        <w:pStyle w:val="Heading2"/>
      </w:pPr>
      <w:r>
        <w:t>Slide 11  Test availability remains tied to group membership</w:t>
      </w:r>
    </w:p>
    <w:p>
      <w:pPr>
        <w:pStyle w:val="Timing"/>
      </w:pPr>
      <w:r>
        <w:t>15-minute core only    9:50 to 10:55    Target 65 seconds</w:t>
      </w:r>
    </w:p>
    <w:p>
      <w:pPr>
        <w:pStyle w:val="Rehearsalnote"/>
      </w:pPr>
      <w:r>
        <w:t>Core 112 words    Expanded 207 words</w:t>
      </w:r>
    </w:p>
    <w:p>
      <w:pPr>
        <w:keepLines/>
      </w:pPr>
      <w:r>
        <w:t>I also checked whether test availability was related to membership.</w:t>
      </w:r>
    </w:p>
    <w:p>
      <w:pPr>
        <w:keepLines/>
      </w:pPr>
      <w:r>
        <w:t>For the memory test shown here, missingness ranged from about ten to eighty percent across the robust groups. For the executive-function test, it ranged from about sixteen to eighty-six percent.</w:t>
      </w:r>
    </w:p>
    <w:p>
      <w:pPr>
        <w:keepLines/>
      </w:pPr>
      <w:r>
        <w:t>This doesn't establish that missingness caused the groups. It does mean that differences in test administration remain a plausible influence that we can't dismiss.</w:t>
      </w:r>
    </w:p>
    <w:p>
      <w:pPr>
        <w:pStyle w:val="Detaillabel"/>
      </w:pPr>
      <w:r>
        <w:t>Optional detail</w:t>
      </w:r>
    </w:p>
    <w:p>
      <w:pPr>
        <w:pStyle w:val="Optionaldetail"/>
        <w:keepLines/>
      </w:pPr>
      <w:r>
        <w:t>There are several possible relationships between the recorded scores, test availability and the resulting groups. These associations alone don't identify the direction of those relationships. Imputation supplies estimates where observations are absent, but it doesn't turn the missing entries into measured scores or establish why a test was missing.</w:t>
      </w:r>
    </w:p>
    <w:p>
      <w:pPr>
        <w:keepLines/>
      </w:pPr>
      <w:r>
        <w:t>Changing the imputation method also changed agreement with the three-group reference. Mean imputation gave ARI of 0.921, while K-nearest-neighbour imputation, which uses similar records to fill gaps, gave 0.538.</w:t>
      </w:r>
    </w:p>
    <w:p>
      <w:pPr>
        <w:pStyle w:val="Detaillabel"/>
      </w:pPr>
      <w:r>
        <w:t>Optional detail</w:t>
      </w:r>
    </w:p>
    <w:p>
      <w:pPr>
        <w:pStyle w:val="Optionaldetail"/>
        <w:keepLines/>
      </w:pPr>
      <w:r>
        <w:t>The lower agreement for K-nearest-neighbour imputation doesn't prove that it is the worse imputer. The reference grouping is itself model-dependent, and agreement with it isn't a check against known true labels. What the comparison establishes is that changing a reasonable missing-data choice can materially alter membership.</w:t>
      </w:r>
    </w:p>
    <w:p>
      <w:pPr>
        <w:keepLines/>
      </w:pPr>
      <w:r>
        <w:t>So the strong agreement across draws from one imputer needs to be read alongside sensitivity to other imputation assumptions.</w:t>
      </w:r>
    </w:p>
    <w:p>
      <w:r>
        <w:br w:type="page"/>
      </w:r>
    </w:p>
    <w:p>
      <w:pPr>
        <w:pStyle w:val="Heading2"/>
      </w:pPr>
      <w:r>
        <w:t>Slide 12  Model choice changes the recovered cluster count</w:t>
      </w:r>
    </w:p>
    <w:p>
      <w:pPr>
        <w:pStyle w:val="Timing"/>
      </w:pPr>
      <w:r>
        <w:t>15-minute core only    10:55 to 11:55    Target 60 seconds</w:t>
      </w:r>
    </w:p>
    <w:p>
      <w:pPr>
        <w:pStyle w:val="Rehearsalnote"/>
      </w:pPr>
      <w:r>
        <w:t>Core 110 words    Expanded 218 words</w:t>
      </w:r>
    </w:p>
    <w:p>
      <w:pPr>
        <w:keepLines/>
      </w:pPr>
      <w:r>
        <w:t>The choice of clustering model also changed how many groups appeared.</w:t>
      </w:r>
    </w:p>
    <w:p>
      <w:pPr>
        <w:keepLines/>
      </w:pPr>
      <w:r>
        <w:t>The selected k-means and sampled PAM solutions had two groups. A tied Gaussian mixture had five, a full Gaussian mixture had eight, and UMAP followed by HDBSCAN had two.</w:t>
      </w:r>
    </w:p>
    <w:p>
      <w:pPr>
        <w:pStyle w:val="Detaillabel"/>
      </w:pPr>
      <w:r>
        <w:t>Optional detail</w:t>
      </w:r>
    </w:p>
    <w:p>
      <w:pPr>
        <w:pStyle w:val="Optionaldetail"/>
        <w:keepLines/>
      </w:pPr>
      <w:r>
        <w:t>These methods describe structure in different ways. K-means groups observations around average centres, while PAM uses representative observations. Gaussian mixtures describe a distribution through overlapping probability components. A tied covariance model shares its covariance structure across components, while a full model allows each component its own structure. Those differences affect how much flexibility each model has.</w:t>
      </w:r>
    </w:p>
    <w:p>
      <w:pPr>
        <w:keepLines/>
      </w:pPr>
      <w:r>
        <w:t>For comparison, I calculated all the silhouettes in the same robust-domain space, covering every validation patient. However, the methods used different selection criteria, so this table doesn't establish which is clinically best.</w:t>
      </w:r>
    </w:p>
    <w:p>
      <w:pPr>
        <w:pStyle w:val="Detaillabel"/>
      </w:pPr>
      <w:r>
        <w:t>Optional detail</w:t>
      </w:r>
    </w:p>
    <w:p>
      <w:pPr>
        <w:pStyle w:val="Optionaldetail"/>
        <w:keepLines/>
      </w:pPr>
      <w:r>
        <w:t>Using one scoring space makes the silhouette values more comparable, but it doesn't make all selection procedures equivalent. A probability model may improve distributional fit by adding components without producing well-separated groups in domain space. I therefore consider the selected count together with the model assumptions and the purpose of the comparison.</w:t>
      </w:r>
    </w:p>
    <w:p>
      <w:pPr>
        <w:keepLines/>
      </w:pPr>
      <w:r>
        <w:t>K-means selected two groups in all twenty imputation screens. But the search ran from two to eight groups. It never compared those solutions with one group, so that consistency alone doesn't establish a natural number of patient types.</w:t>
      </w:r>
    </w:p>
    <w:p>
      <w:r>
        <w:br w:type="page"/>
      </w:r>
    </w:p>
    <w:p>
      <w:pPr>
        <w:pStyle w:val="Heading2"/>
      </w:pPr>
      <w:r>
        <w:t>Slide 13  Alternative models leave subgroup counts unresolved</w:t>
      </w:r>
    </w:p>
    <w:p>
      <w:pPr>
        <w:pStyle w:val="Timing"/>
      </w:pPr>
      <w:r>
        <w:t>15-minute core only    11:55 to 12:50    Target 55 seconds</w:t>
      </w:r>
    </w:p>
    <w:p>
      <w:pPr>
        <w:pStyle w:val="Rehearsalnote"/>
      </w:pPr>
      <w:r>
        <w:t>Core 106 words    Expanded 216 words</w:t>
      </w:r>
    </w:p>
    <w:p>
      <w:pPr>
        <w:keepLines/>
      </w:pPr>
      <w:r>
        <w:t>I also tried models that approach the problem differently.</w:t>
      </w:r>
    </w:p>
    <w:p>
      <w:pPr>
        <w:keepLines/>
      </w:pPr>
      <w:r>
        <w:t>One analysis fitted mixtures directly to the observed parts of the fourteen tests. The best restricted family was a heavy-tailed t mixture, which allows more extreme observations than a Gaussian model. It selected eight components, the upper search limit. That leaves the component count unresolved.</w:t>
      </w:r>
    </w:p>
    <w:p>
      <w:pPr>
        <w:pStyle w:val="Detaillabel"/>
      </w:pPr>
      <w:r>
        <w:t>Optional detail</w:t>
      </w:r>
    </w:p>
    <w:p>
      <w:pPr>
        <w:pStyle w:val="Optionaldetail"/>
        <w:keepLines/>
      </w:pPr>
      <w:r>
        <w:t>The t family with four degrees of freedom can accommodate heavier tails than a Gaussian family. That matters because a mixture component can help describe an unusual part of a distribution without necessarily representing a separate clinical population. Reaching the upper search boundary also means I can't claim that the selected number is a well-established optimum.</w:t>
      </w:r>
    </w:p>
    <w:p>
      <w:pPr>
        <w:keepLines/>
      </w:pPr>
      <w:r>
        <w:t>I also examined change over time in 2,013 eligible patients. Every trajectory model with multiple classes contained a class below the specified five-percent size threshold. The rule therefore retained one class.</w:t>
      </w:r>
    </w:p>
    <w:p>
      <w:pPr>
        <w:pStyle w:val="Detaillabel"/>
      </w:pPr>
      <w:r>
        <w:t>Optional detail</w:t>
      </w:r>
    </w:p>
    <w:p>
      <w:pPr>
        <w:pStyle w:val="Optionaldetail"/>
        <w:keepLines/>
      </w:pPr>
      <w:r>
        <w:t>The trajectory analysis asks about patterns over time, rather than grouping one assessment per person. The size rule was intended to avoid retaining solutions with very small expected classes. Its decision depends on that rule and on the linear trajectory models I tested. Smaller or nonlinear patterns could require a different design to evaluate.</w:t>
      </w:r>
    </w:p>
    <w:p>
      <w:pPr>
        <w:keepLines/>
      </w:pPr>
      <w:r>
        <w:t>This doesn't imply that everyone recovers in the same way. It tells us what these particular models and selection rules supported.</w:t>
      </w:r>
    </w:p>
    <w:p>
      <w:r>
        <w:br w:type="page"/>
      </w:r>
    </w:p>
    <w:p>
      <w:pPr>
        <w:pStyle w:val="Heading2"/>
      </w:pPr>
      <w:r>
        <w:t>Slide 14  CogDash makes the findings explorable</w:t>
      </w:r>
    </w:p>
    <w:p>
      <w:pPr>
        <w:pStyle w:val="Timing"/>
      </w:pPr>
      <w:r>
        <w:t>15-minute core only    12:50 to 13:25    Target 35 seconds</w:t>
      </w:r>
    </w:p>
    <w:p>
      <w:pPr>
        <w:pStyle w:val="Rehearsalnote"/>
      </w:pPr>
      <w:r>
        <w:t>Core 68 words    Expanded 161 words</w:t>
      </w:r>
    </w:p>
    <w:p>
      <w:pPr>
        <w:keepLines/>
      </w:pPr>
      <w:r>
        <w:t>I brought the results together in CogDash so they can be explored interactively.</w:t>
      </w:r>
    </w:p>
    <w:p>
      <w:pPr>
        <w:keepLines/>
      </w:pPr>
      <w:r>
        <w:t>The view shown here lets a user compare the scaling choices and see how the profiles change. Other views show imputation comparisons and distances to saved models.</w:t>
      </w:r>
    </w:p>
    <w:p>
      <w:pPr>
        <w:pStyle w:val="Detaillabel"/>
      </w:pPr>
      <w:r>
        <w:t>Optional detail</w:t>
      </w:r>
    </w:p>
    <w:p>
      <w:pPr>
        <w:pStyle w:val="Optionaldetail"/>
        <w:keepLines/>
      </w:pPr>
      <w:r>
        <w:t>This scaling comparison lets us follow how the profile shapes and group sizes change. The agreement results from the earlier slides tell us how similar the memberships are. Looking at both makes the sensitivity visible and keeps the group labels connected to the assumptions behind them.</w:t>
      </w:r>
    </w:p>
    <w:p>
      <w:pPr>
        <w:keepLines/>
      </w:pPr>
      <w:r>
        <w:t>This makes the analysis easier to inspect and discuss. At this stage, its role is research exploration. We haven't established that using these group labels improves clinical decisions.</w:t>
      </w:r>
    </w:p>
    <w:p>
      <w:pPr>
        <w:pStyle w:val="Detaillabel"/>
      </w:pPr>
      <w:r>
        <w:t>Optional detail</w:t>
      </w:r>
    </w:p>
    <w:p>
      <w:pPr>
        <w:pStyle w:val="Optionaldetail"/>
        <w:keepLines/>
      </w:pPr>
      <w:r>
        <w:t>A saved-model distance tells us how a profile relates to that fitted model. It shouldn't be interpreted as a validated probability of diagnosis or a treatment recommendation. The practical contribution at this stage is that the results can be inspected and discussed with their limitations in view.</w:t>
      </w:r>
    </w:p>
    <w:p>
      <w:r>
        <w:br w:type="page"/>
      </w:r>
    </w:p>
    <w:p>
      <w:pPr>
        <w:pStyle w:val="Heading2"/>
      </w:pPr>
      <w:r>
        <w:t>Slide 15  Limits that affect the interpretation</w:t>
      </w:r>
    </w:p>
    <w:p>
      <w:pPr>
        <w:pStyle w:val="Timing"/>
      </w:pPr>
      <w:r>
        <w:t>15-minute core only    13:25 to 14:05    Target 40 seconds</w:t>
      </w:r>
    </w:p>
    <w:p>
      <w:pPr>
        <w:pStyle w:val="Rehearsalnote"/>
      </w:pPr>
      <w:r>
        <w:t>Core 79 words    Expanded 190 words</w:t>
      </w:r>
    </w:p>
    <w:p>
      <w:pPr>
        <w:keepLines/>
      </w:pPr>
      <w:r>
        <w:t>Four limitations affect the interpretation.</w:t>
      </w:r>
    </w:p>
    <w:p>
      <w:pPr>
        <w:keepLines/>
      </w:pPr>
      <w:r>
        <w:t>This is a single-centre cohort without an independent functional outcome. Feature selection was inherited, and domain weighting remains exploratory.</w:t>
      </w:r>
    </w:p>
    <w:p>
      <w:pPr>
        <w:pStyle w:val="Detaillabel"/>
      </w:pPr>
      <w:r>
        <w:t>Optional detail</w:t>
      </w:r>
    </w:p>
    <w:p>
      <w:pPr>
        <w:pStyle w:val="Optionaldetail"/>
        <w:keepLines/>
      </w:pPr>
      <w:r>
        <w:t>An external cohort would test whether the findings carry over to a different set of patients and testing practices. The current validation split still comes from the same centre, so it doesn't answer that broader question. Similarly, using an outcome that is independent of the clustering variables would help avoid judging the groups only by the scores that created them.</w:t>
      </w:r>
    </w:p>
    <w:p>
      <w:pPr>
        <w:keepLines/>
      </w:pPr>
      <w:r>
        <w:t>Missing data add uncertainty. If missingness still depends on an unobserved score after accounting for observed information, we call it missing not at random. Agreement within one imputer doesn't resolve that.</w:t>
      </w:r>
    </w:p>
    <w:p>
      <w:pPr>
        <w:pStyle w:val="Detaillabel"/>
      </w:pPr>
      <w:r>
        <w:t>Optional detail</w:t>
      </w:r>
    </w:p>
    <w:p>
      <w:pPr>
        <w:pStyle w:val="Optionaldetail"/>
        <w:keepLines/>
      </w:pPr>
      <w:r>
        <w:t>We can't settle a missing-not-at-random mechanism just by comparing completed datasets, because the relevant scores are unobserved. Sensitivity analysis can show how conclusions change under specified alternatives, but the assumptions still need to be stated. This is why I describe the results conditionally rather than treating the imputed data as certain.</w:t>
      </w:r>
    </w:p>
    <w:p>
      <w:pPr>
        <w:keepLines/>
      </w:pPr>
      <w:r>
        <w:t>Finally, the restricted mixture families and linear trajectory models can miss other patterns. So the clinical meaning and generalizability of the groups remain open.</w:t>
      </w:r>
    </w:p>
    <w:p>
      <w:r>
        <w:br w:type="page"/>
      </w:r>
    </w:p>
    <w:p>
      <w:pPr>
        <w:pStyle w:val="Heading2"/>
      </w:pPr>
      <w:r>
        <w:t>Slide 16  Contribution and next validation step</w:t>
      </w:r>
    </w:p>
    <w:p>
      <w:pPr>
        <w:pStyle w:val="Timing"/>
      </w:pPr>
      <w:r>
        <w:t>15-minute core only    14:05 to 14:40    Target 35 seconds</w:t>
      </w:r>
    </w:p>
    <w:p>
      <w:pPr>
        <w:pStyle w:val="Rehearsalnote"/>
      </w:pPr>
      <w:r>
        <w:t>Core 70 words    Expanded 186 words</w:t>
      </w:r>
    </w:p>
    <w:p>
      <w:pPr>
        <w:keepLines/>
      </w:pPr>
      <w:r>
        <w:t>The main contribution of my thesis is a reproducible analysis showing which cognitive score groups repeat and which analytical choices change them.</w:t>
      </w:r>
    </w:p>
    <w:p>
      <w:pPr>
        <w:pStyle w:val="Detaillabel"/>
      </w:pPr>
      <w:r>
        <w:t>Optional detail</w:t>
      </w:r>
    </w:p>
    <w:p>
      <w:pPr>
        <w:pStyle w:val="Optionaldetail"/>
        <w:keepLines/>
      </w:pPr>
      <w:r>
        <w:t>I think that distinction is useful even when the result is less definitive than finding a fixed set of patient types. The analysis identifies where the evidence is strong, such as repeated assignments within a given setup, and where decisions remain consequential, such as domain scaling. It also provides a basis for making those choices explicit in later studies.</w:t>
      </w:r>
    </w:p>
    <w:p>
      <w:pPr>
        <w:keepLines/>
      </w:pPr>
      <w:r>
        <w:t>For the next step, I would test the approach in an external cohort with independent functional outcomes. I would compare group membership with continuous cognitive scores and ask whether the groups add useful information. That comparison is needed before claiming a benefit from turning the scores into categories.</w:t>
      </w:r>
    </w:p>
    <w:p>
      <w:pPr>
        <w:pStyle w:val="Detaillabel"/>
      </w:pPr>
      <w:r>
        <w:t>Optional detail</w:t>
      </w:r>
    </w:p>
    <w:p>
      <w:pPr>
        <w:pStyle w:val="Optionaldetail"/>
        <w:keepLines/>
      </w:pPr>
      <w:r>
        <w:t>In that next study, I would keep the fitting and evaluation stages separate and define the outcome comparison in advance. The key question would be whether adding a group label improves what can already be learned from the continuous scores. If it doesn't, the categories may still help description, but their added practical value would remain unestablished.</w:t>
      </w:r>
    </w:p>
    <w:p>
      <w:r>
        <w:br w:type="page"/>
      </w:r>
    </w:p>
    <w:p>
      <w:pPr>
        <w:pStyle w:val="Heading2"/>
      </w:pPr>
      <w:r>
        <w:t>Slide 17  Repeatable score groups clinical phenotypes remain unconfirmed</w:t>
      </w:r>
    </w:p>
    <w:p>
      <w:pPr>
        <w:pStyle w:val="Timing"/>
      </w:pPr>
      <w:r>
        <w:t>15-minute core only    14:40 to 15:00    Target 20 seconds</w:t>
      </w:r>
    </w:p>
    <w:p>
      <w:pPr>
        <w:pStyle w:val="Rehearsalnote"/>
      </w:pPr>
      <w:r>
        <w:t>Core 41 words    Expanded 109 words</w:t>
      </w:r>
    </w:p>
    <w:p>
      <w:pPr>
        <w:keepLines/>
      </w:pPr>
      <w:r>
        <w:t>To finish, I found repeatable cognitive score groups under specified analytical choices. Their membership remains sensitive to scaling and missing-data assumptions. Distinct clinical phenotypes and clinical usefulness still need independent validation.</w:t>
      </w:r>
    </w:p>
    <w:p>
      <w:pPr>
        <w:pStyle w:val="Detaillabel"/>
      </w:pPr>
      <w:r>
        <w:t>Optional detail</w:t>
      </w:r>
    </w:p>
    <w:p>
      <w:pPr>
        <w:pStyle w:val="Optionaldetail"/>
        <w:keepLines/>
      </w:pPr>
      <w:r>
        <w:t>The result I would emphasize is the combination of strong repeatability under a fixed setup and substantial sensitivity to some reasonable changes in that setup. Both findings matter. Together, they show why a high agreement score should be interpreted alongside the assumptions used to construct the groups. My conclusion is therefore that the data support useful descriptive groupings, while their clinical interpretation remains a question for further validation.</w:t>
      </w:r>
    </w:p>
    <w:p>
      <w:pPr>
        <w:keepLines/>
      </w:pPr>
      <w:r>
        <w:t>Thank you for listening. I'm happy to take your questions.</w:t>
      </w:r>
    </w:p>
    <w:p>
      <w:r>
        <w:br w:type="page"/>
      </w:r>
    </w:p>
    <w:p>
      <w:pPr>
        <w:pStyle w:val="Heading2"/>
      </w:pPr>
      <w:r>
        <w:t>Slide 18  Hypothesis criteria and outcomes</w:t>
      </w:r>
    </w:p>
    <w:p>
      <w:pPr>
        <w:pStyle w:val="Timing"/>
      </w:pPr>
      <w:r>
        <w:t>Backup answer    247 words    Outside the timed talk</w:t>
      </w:r>
    </w:p>
    <w:p>
      <w:pPr>
        <w:keepLines/>
      </w:pPr>
      <w:r>
        <w:t>This slide shows the decision criteria behind the original hypotheses.</w:t>
      </w:r>
    </w:p>
    <w:p>
      <w:pPr>
        <w:keepLines/>
      </w:pPr>
      <w:r>
        <w:t>For H1, I required at least two groups, a silhouette of at least 0.40 and no more than thirty percent noise. Noise here means observations the density-based method leaves outside its groups. All ten imputation methods met those criteria in the embedding, although stability of matched groups was only moderate.</w:t>
      </w:r>
    </w:p>
    <w:p>
      <w:pPr>
        <w:keepLines/>
      </w:pPr>
      <w:r>
        <w:t>The silhouette and noise thresholds describe the selected embedding-based analysis. They don't require the same degree of separation in the original domains. That distinction matters because the earlier chart showed that silhouette changed considerably when the same labels were evaluated in a different space. Passing an embedding criterion therefore needs to be considered alongside those sensitivity results.</w:t>
      </w:r>
    </w:p>
    <w:p>
      <w:pPr>
        <w:keepLines/>
      </w:pPr>
      <w:r>
        <w:t>For H2, the median pairwise ARI had to exceed 0.50. It reached 0.739 within the fixed reference. For H3, Cramér's V had to exceed 0.10. The observed 0.162 met that association criterion, although added prediction remained uncertain.</w:t>
      </w:r>
    </w:p>
    <w:p>
      <w:pPr>
        <w:keepLines/>
      </w:pPr>
      <w:r>
        <w:t>H4 showed similar separation with lower VIF and condition number, indicating less redundancy and better numerical conditioning. These criteria organize the statistical questions. Meeting them doesn't, by itself, validate a clinical classification.</w:t>
      </w:r>
    </w:p>
    <w:p>
      <w:pPr>
        <w:keepLines/>
      </w:pPr>
      <w:r>
        <w:t>I distinguish the outcome of a hypothesis criterion from the strength of the overall scientific interpretation. The criteria provide a consistent way to summarize the planned comparisons. Stability, added predictive value and external validation then answer further questions that the thresholds alone can't resolve. That is why some conclusions in the presentation are qualified even when a numerical criterion was met.</w:t>
      </w:r>
    </w:p>
    <w:p>
      <w:r>
        <w:br w:type="page"/>
      </w:r>
    </w:p>
    <w:p>
      <w:pPr>
        <w:pStyle w:val="Heading2"/>
      </w:pPr>
      <w:r>
        <w:t>Slide 19  Fixed reference agreement and independent refitting</w:t>
      </w:r>
    </w:p>
    <w:p>
      <w:pPr>
        <w:pStyle w:val="Timing"/>
      </w:pPr>
      <w:r>
        <w:t>Backup answer    233 words    Outside the timed talk</w:t>
      </w:r>
    </w:p>
    <w:p>
      <w:pPr>
        <w:keepLines/>
      </w:pPr>
      <w:r>
        <w:t>The distinction here is what changes between the comparisons.</w:t>
      </w:r>
    </w:p>
    <w:p>
      <w:pPr>
        <w:keepLines/>
      </w:pPr>
      <w:r>
        <w:t>In historical H2, I compared ten imputation methods using a frozen MICE-based transformation and assignment rule. That gives forty-five pairs of partitions over the same assessment records. The three-group mean ARI was 0.710.</w:t>
      </w:r>
    </w:p>
    <w:p>
      <w:pPr>
        <w:keepLines/>
      </w:pPr>
      <w:r>
        <w:t>In the extension, I used twenty stochastic Bayesian imputation draws and fitted the discovery models independently. I then compared assignments for the same 1,457 validation patients. The three-group k-means mean ARI was 0.935.</w:t>
      </w:r>
    </w:p>
    <w:p>
      <w:pPr>
        <w:keepLines/>
      </w:pPr>
      <w:r>
        <w:t>The distinction is also about the source of variation. Comparing different imputation methods changes how the missing values are estimated. Comparing repeated draws from one imputation model explores uncertainty within that model. Refitting the clustering adds another source of variation. Those are related checks, but they aren't interchangeable experiments.</w:t>
      </w:r>
    </w:p>
    <w:p>
      <w:pPr>
        <w:keepLines/>
      </w:pPr>
      <w:r>
        <w:t>The historical assessment-subsampling value of 0.273 comes from yet another design. These numbers vary because the unit of analysis and the source of variation differ. I wouldn't describe the increase from one number to another as an improvement in predictive accuracy. ARI measures agreement between groupings, and each design tests a different kind of agreement.</w:t>
      </w:r>
    </w:p>
    <w:p>
      <w:pPr>
        <w:keepLines/>
      </w:pPr>
      <w:r>
        <w:t>ARI also ignores the arbitrary names given to groups. If two fits assign the same people together but swap the label numbers, agreement can still be perfect. That makes it useful here, where labels have no fixed clinical meaning. However, it still compares partitions rather than checking them against an independently observed patient type.</w:t>
      </w:r>
    </w:p>
    <w:p>
      <w:r>
        <w:br w:type="page"/>
      </w:r>
    </w:p>
    <w:p>
      <w:pPr>
        <w:pStyle w:val="Heading2"/>
      </w:pPr>
      <w:r>
        <w:t>Slide 20  Independent imputation agreement in full</w:t>
      </w:r>
    </w:p>
    <w:p>
      <w:pPr>
        <w:pStyle w:val="Timing"/>
      </w:pPr>
      <w:r>
        <w:t>Backup answer    226 words    Outside the timed talk</w:t>
      </w:r>
    </w:p>
    <w:p>
      <w:pPr>
        <w:keepLines/>
      </w:pPr>
      <w:r>
        <w:t>This table shows the full comparison across imputation draws.</w:t>
      </w:r>
    </w:p>
    <w:p>
      <w:pPr>
        <w:keepLines/>
      </w:pPr>
      <w:r>
        <w:t>For k-means, mean ARI was 0.959 with two groups, 0.935 with three and 0.738 with four. For sampled PAM, the corresponding values were 0.909, 0.504 and 0.462. So the two- and three-group k-means results were more repeatable in this experiment.</w:t>
      </w:r>
    </w:p>
    <w:p>
      <w:pPr>
        <w:keepLines/>
      </w:pPr>
      <w:r>
        <w:t>The decrease in agreement as the number of groups increases suggests that finer divisions are less repeatable in these tested settings. A broad division can remain similar while more detailed boundaries move. I wouldn't turn that observation into a universal rule, but it helps explain why I show several group counts rather than reporting only the best agreement score.</w:t>
      </w:r>
    </w:p>
    <w:p>
      <w:pPr>
        <w:keepLines/>
      </w:pPr>
      <w:r>
        <w:t>The ranges show the fifth to ninety-fifth percentiles of the pairwise agreement values. PAM at three groups has a particularly wide range, which means some fitted partitions agreed much less well than others.</w:t>
      </w:r>
    </w:p>
    <w:p>
      <w:pPr>
        <w:keepLines/>
      </w:pPr>
      <w:r>
        <w:t>I wouldn't call these confidence intervals. Many of the pairwise comparisons reuse the same fitted partitions, so the comparisons aren't independent. They describe the spread of agreement under the tested imputation model and representation.</w:t>
      </w:r>
    </w:p>
    <w:p>
      <w:pPr>
        <w:keepLines/>
      </w:pPr>
      <w:r>
        <w:t>The mean summarizes the centre of the agreement results, while the percentile range shows how variable the comparisons were. Looking at both avoids hiding poorly agreeing fits behind one average. These comparisons support the repeatability of particular settings under this experiment, and they don't resolve the separate scaling and missingness sensitivities.</w:t>
      </w:r>
    </w:p>
    <w:p>
      <w:r>
        <w:br w:type="page"/>
      </w:r>
    </w:p>
    <w:p>
      <w:pPr>
        <w:pStyle w:val="Heading2"/>
      </w:pPr>
      <w:r>
        <w:t>Slide 21  Partition changes and geometry changes are separable</w:t>
      </w:r>
    </w:p>
    <w:p>
      <w:pPr>
        <w:pStyle w:val="Timing"/>
      </w:pPr>
      <w:r>
        <w:t>Backup answer    227 words    Outside the timed talk</w:t>
      </w:r>
    </w:p>
    <w:p>
      <w:pPr>
        <w:keepLines/>
      </w:pPr>
      <w:r>
        <w:t>There are two separate effects in this table. We can change who belongs to a group, or we can keep the labels and change the space in which we measure separation.</w:t>
      </w:r>
    </w:p>
    <w:p>
      <w:pPr>
        <w:keepLines/>
      </w:pPr>
      <w:r>
        <w:t>One way to read the table is to move across a row first. The people keep the same labels, while the distance calculation changes. Then compare the two sets of labels using ARI. That second comparison asks whether the same patients remain together, independently of the numerical labels assigned to their groups.</w:t>
      </w:r>
    </w:p>
    <w:p>
      <w:pPr>
        <w:keepLines/>
      </w:pPr>
      <w:r>
        <w:t>For the robust-scaling labels, silhouette was 0.608 in robust space and 0.440 in equal-domain space. The labels stayed fixed, so that difference comes from the geometry used to calculate distances.</w:t>
      </w:r>
    </w:p>
    <w:p>
      <w:pPr>
        <w:keepLines/>
      </w:pPr>
      <w:r>
        <w:t>For the equal-domain labels, silhouette was 0.172 in robust space and 0.283 in equal-domain space. Again, the row keeps the labels fixed.</w:t>
      </w:r>
    </w:p>
    <w:p>
      <w:pPr>
        <w:keepLines/>
      </w:pPr>
      <w:r>
        <w:t>When I compare membership between the two solutions, ARI is 0.243. So there is a substantial membership change as well. This is why I report both agreement and separation. A favourable silhouette alone can't tell us which representation has clinical meaning.</w:t>
      </w:r>
    </w:p>
    <w:p>
      <w:pPr>
        <w:keepLines/>
      </w:pPr>
      <w:r>
        <w:t>This distinction prevents a common misinterpretation of silhouette. A higher value can reflect a representation in which the chosen groups are more separated, without showing that those groups capture a more meaningful clinical distinction. To establish that, I would need an outcome or criterion beyond the geometry of the scores themselves.</w:t>
      </w:r>
    </w:p>
    <w:p>
      <w:r>
        <w:br w:type="page"/>
      </w:r>
    </w:p>
    <w:p>
      <w:pPr>
        <w:pStyle w:val="Heading2"/>
      </w:pPr>
      <w:r>
        <w:t>Slide 22  Incomplete data mixture comparison</w:t>
      </w:r>
    </w:p>
    <w:p>
      <w:pPr>
        <w:pStyle w:val="Timing"/>
      </w:pPr>
      <w:r>
        <w:t>Backup answer    276 words    Outside the timed talk</w:t>
      </w:r>
    </w:p>
    <w:p>
      <w:pPr>
        <w:keepLines/>
      </w:pPr>
      <w:r>
        <w:t>These models use the observed portions of the test profiles, so they offer an alternative to first completing every missing entry.</w:t>
      </w:r>
    </w:p>
    <w:p>
      <w:pPr>
        <w:keepLines/>
      </w:pPr>
      <w:r>
        <w:t>Each patient's observed tests contribute to the model's likelihood, with the unobserved part handled by the assumed probability model. This avoids treating one completed dataset as if every entry had been measured. But it still relies on distributional and missing-data assumptions, so it doesn't remove the need for sensitivity checks.</w:t>
      </w:r>
    </w:p>
    <w:p>
      <w:pPr>
        <w:keepLines/>
      </w:pPr>
      <w:r>
        <w:t>Within the restricted families I tested, the t mixture with four degrees of freedom performed best on BIC and validation log likelihood. BIC balances fit against model complexity, and lower is better within this comparison. Validation log likelihood measures how well the fitted model describes held-out data, and higher is better.</w:t>
      </w:r>
    </w:p>
    <w:p>
      <w:pPr>
        <w:keepLines/>
      </w:pPr>
      <w:r>
        <w:t>This model had BIC of 67,545.6 and validation log likelihood of minus 5.341. However, it used eight components, which was the search boundary, and its domain silhouette was only 0.095.</w:t>
      </w:r>
    </w:p>
    <w:p>
      <w:pPr>
        <w:keepLines/>
      </w:pPr>
      <w:r>
        <w:t>BIC and validation log likelihood address how well the probability model describes the data, whereas silhouette addresses separation in the chosen domain space. Those criteria can favour different aspects of a solution. A component may improve the description of tails or overlapping regions even when it doesn't correspond to a clearly isolated group of patients.</w:t>
      </w:r>
    </w:p>
    <w:p>
      <w:pPr>
        <w:keepLines/>
      </w:pPr>
      <w:r>
        <w:t>Twenty-eight of the thirty-two candidate fits converged. The result supports better distributional fit within this restricted comparison. It leaves the number and clinical meaning of the components unresolved.</w:t>
      </w:r>
    </w:p>
    <w:p>
      <w:pPr>
        <w:keepLines/>
      </w:pPr>
      <w:r>
        <w:t>I also keep the convergence result visible because numerical fitting is part of what limits this comparison. The conclusion applies to the fitted candidates within the restricted families and search range. It doesn't establish a unique component count beyond that range.</w:t>
      </w:r>
    </w:p>
    <w:p>
      <w:r>
        <w:br w:type="page"/>
      </w:r>
    </w:p>
    <w:p>
      <w:pPr>
        <w:pStyle w:val="Heading2"/>
      </w:pPr>
      <w:r>
        <w:t>Slide 23  Continuous reference checks give mixed evidence</w:t>
      </w:r>
    </w:p>
    <w:p>
      <w:pPr>
        <w:pStyle w:val="Timing"/>
      </w:pPr>
      <w:r>
        <w:t>Backup answer    256 words    Outside the timed talk</w:t>
      </w:r>
    </w:p>
    <w:p>
      <w:pPr>
        <w:keepLines/>
      </w:pPr>
      <w:r>
        <w:t>This was an exploratory check against a fitted continuous reference, using a Gaussian copula to represent the dependence between tests.</w:t>
      </w:r>
    </w:p>
    <w:p>
      <w:pPr>
        <w:keepLines/>
      </w:pPr>
      <w:r>
        <w:t>The reference uses the test distributions and a model for their dependence without explicitly building in a latent mixture of patient types. The idea is to ask whether a particular feature of the observed analysis is unusual relative to that fitted reference. The answer depends on which feature is measured and on how well the reference captures relevant aspects of the data.</w:t>
      </w:r>
    </w:p>
    <w:p>
      <w:pPr>
        <w:keepLines/>
      </w:pPr>
      <w:r>
        <w:t>For a thousand patients, I generated one hundred reference datasets and repeated the specified k-means search. The observed maximum silhouette was unusually high relative to that reference, with a corrected tail fraction of 0.0099.</w:t>
      </w:r>
    </w:p>
    <w:p>
      <w:pPr>
        <w:keepLines/>
      </w:pPr>
      <w:r>
        <w:t>I also looked at the dip statistic on the first principal component. That checks for departures from a single peak in a one-dimensional projection. Its reference tail fraction was 0.9901, so this check didn't show excess projected multimodality.</w:t>
      </w:r>
    </w:p>
    <w:p>
      <w:pPr>
        <w:keepLines/>
      </w:pPr>
      <w:r>
        <w:t>A tail fraction compares the observed statistic with the simulated reference statistics. It isn't the probability that a clinical hypothesis is true. Also, a check along the first principal component only examines one projection. It can miss structure in other directions, so the dip result can't establish that the whole multivariate dataset has a single simple shape.</w:t>
      </w:r>
    </w:p>
    <w:p>
      <w:pPr>
        <w:keepLines/>
      </w:pPr>
      <w:r>
        <w:t>The two results address different features and give mixed evidence. The reference also sampled missingness patterns independently of the simulated test values. I therefore treat this as a descriptive comparison with a limited reference, rather than proof of either distinct clusters or a continuous population.</w:t>
      </w:r>
    </w:p>
    <w:p>
      <w:r>
        <w:br w:type="page"/>
      </w:r>
    </w:p>
    <w:p>
      <w:pPr>
        <w:pStyle w:val="Heading2"/>
      </w:pPr>
      <w:r>
        <w:t>Slide 24  The trajectory size rule selects one class</w:t>
      </w:r>
    </w:p>
    <w:p>
      <w:pPr>
        <w:pStyle w:val="Timing"/>
      </w:pPr>
      <w:r>
        <w:t>Backup answer    231 words    Outside the timed talk</w:t>
      </w:r>
    </w:p>
    <w:p>
      <w:pPr>
        <w:keepLines/>
      </w:pPr>
      <w:r>
        <w:t>The trajectory analysis used 2,013 patients, with 1,590 in discovery and 423 in validation.</w:t>
      </w:r>
    </w:p>
    <w:p>
      <w:pPr>
        <w:keepLines/>
      </w:pPr>
      <w:r>
        <w:t>Allowing more classes improved BIC and validation log likelihood. However, it also produced small classes. The smallest expected discovery class was 3.9 percent with two classes, 2.7 percent with three, and 1.3 percent with four.</w:t>
      </w:r>
    </w:p>
    <w:p>
      <w:pPr>
        <w:keepLines/>
      </w:pPr>
      <w:r>
        <w:t>Expected size means adding up the membership probabilities, rather than just counting each person's most likely class. All of these multiclass models failed the specified rule that every class should contain at least five percent of the discovery sample.</w:t>
      </w:r>
    </w:p>
    <w:p>
      <w:pPr>
        <w:keepLines/>
      </w:pPr>
      <w:r>
        <w:t>The fit criteria and the size criterion therefore point to different aspects of the solution. More classes describe the observed trajectories better by the reported fit measures, but the added classes don't satisfy the minimum expected size rule. I applied the rule as specified rather than choosing the number of classes from fit alone.</w:t>
      </w:r>
    </w:p>
    <w:p>
      <w:pPr>
        <w:keepLines/>
      </w:pPr>
      <w:r>
        <w:t>The rule therefore retained one class, and multiclass resampling wasn't triggered. This conclusion depends on the tested linear models and the size rule. It doesn't show that all patients recover alike, and it doesn't rule out meaningful patterns with nonlinear change.</w:t>
      </w:r>
    </w:p>
    <w:p>
      <w:pPr>
        <w:keepLines/>
      </w:pPr>
      <w:r>
        <w:t>A one-class mixed-effects model can still allow patients to differ in their starting levels and rates of change through individual random effects. One class refers to the number of modelled population classes, not to identical trajectories for every patient. That distinction is central to interpreting this result correctly.</w:t>
      </w:r>
    </w:p>
    <w:p>
      <w:r>
        <w:br w:type="page"/>
      </w:r>
    </w:p>
    <w:p>
      <w:pPr>
        <w:pStyle w:val="Heading2"/>
      </w:pPr>
      <w:r>
        <w:t>Slide 25  Preprocessing sensitivity at fixed three group k means</w:t>
      </w:r>
    </w:p>
    <w:p>
      <w:pPr>
        <w:pStyle w:val="Timing"/>
      </w:pPr>
      <w:r>
        <w:t>Backup answer    258 words    Outside the timed talk</w:t>
      </w:r>
    </w:p>
    <w:p>
      <w:pPr>
        <w:keepLines/>
      </w:pPr>
      <w:r>
        <w:t>Here I changed one preparation choice at a time around the three-group k-means reference.</w:t>
      </w:r>
    </w:p>
    <w:p>
      <w:pPr>
        <w:keepLines/>
      </w:pPr>
      <w:r>
        <w:t>These are targeted sensitivity comparisons. Keeping three-group k-means fixed makes it easier to see which preparation choices affect membership. However, the stricter observed-test requirement changes the eligible sample as well, so its agreement score has to be calculated on the patients shared by the relevant comparisons.</w:t>
      </w:r>
    </w:p>
    <w:p>
      <w:pPr>
        <w:keepLines/>
      </w:pPr>
      <w:r>
        <w:t>Mean imputation gave ARI of 0.921, while K-nearest-neighbour imputation gave 0.538. Requiring at least seven observed tests retained 5,263 discovery patients and 1,339 validation patients. Agreement on the shared validation patients was 0.903.</w:t>
      </w:r>
    </w:p>
    <w:p>
      <w:pPr>
        <w:keepLines/>
      </w:pPr>
      <w:r>
        <w:t>Removing clipping, which caps extreme values, gave ARI of 0.958. When I allowed fifty deterministic imputation iterations, the procedure converged at iteration thirty-seven and the labels stayed unchanged, with ARI of one.</w:t>
      </w:r>
    </w:p>
    <w:p>
      <w:pPr>
        <w:keepLines/>
      </w:pPr>
      <w:r>
        <w:t>The iteration check addresses whether allowing the numerical procedure more time changes the final labels. Reaching convergence before the larger limit and retaining the same labels is reassuring for that specific concern. It doesn't establish that the imputation model is correct, or remove sensitivity to a different imputation method.</w:t>
      </w:r>
    </w:p>
    <w:p>
      <w:pPr>
        <w:keepLines/>
      </w:pPr>
      <w:r>
        <w:t>The last check is slightly different. I clustered the validation patients independently after applying the frozen discovery transformation. That gave ARI of 0.895 against the reference assignments. It measures agreement between partitions, so it shouldn't be read as a second predictive-accuracy result.</w:t>
      </w:r>
    </w:p>
    <w:p>
      <w:pPr>
        <w:keepLines/>
      </w:pPr>
      <w:r>
        <w:t>I use this table to identify consequential choices rather than rank every row as better or worse. Lower agreement tells me that a decision changes the partition. Without true group labels, it doesn't tell me which partition is the clinically correct one.</w:t>
      </w:r>
    </w:p>
    <w:p>
      <w:r>
        <w:br w:type="page"/>
      </w:r>
    </w:p>
    <w:p>
      <w:pPr>
        <w:pStyle w:val="Heading2"/>
      </w:pPr>
      <w:r>
        <w:t>Slide 26  Algorithms and missing data assumptions</w:t>
      </w:r>
    </w:p>
    <w:p>
      <w:pPr>
        <w:pStyle w:val="Timing"/>
      </w:pPr>
      <w:r>
        <w:t>Backup answer    277 words    Outside the timed talk</w:t>
      </w:r>
    </w:p>
    <w:p>
      <w:pPr>
        <w:keepLines/>
      </w:pPr>
      <w:r>
        <w:t>The historical analysis compared ten ways of filling in missing values. They included simple means, methods using similar records or conditional models, and approaches based on matrix completion and neural networks.</w:t>
      </w:r>
    </w:p>
    <w:p>
      <w:pPr>
        <w:keepLines/>
      </w:pPr>
      <w:r>
        <w:t>The methods make different assumptions about how information can be shared between tests and records. A mean imputer gives a simple variable-level estimate. Neighbour-based methods borrow from similar observations, while conditional models predict one variable from others. Matrix methods use a lower-dimensional structure, and neural approaches learn representations for reconstruction. Their flexibility doesn't guarantee that the missing-data assumptions are appropriate.</w:t>
      </w:r>
    </w:p>
    <w:p>
      <w:pPr>
        <w:keepLines/>
      </w:pPr>
      <w:r>
        <w:t>For MICE and predictive mean matching, this implementation used miceforest. That matters because the name MICE alone doesn't tell us which conditional prediction models were used. Predictive mean matching uses observed donor values from records with similar predictions.</w:t>
      </w:r>
    </w:p>
    <w:p>
      <w:pPr>
        <w:keepLines/>
      </w:pPr>
      <w:r>
        <w:t>The historical UMAP representation had eight dimensions, fifteen neighbours and minimum distance zero. Those settings control the representation. HDBSCAN then used minimum cluster size one thousand and minimum samples fifty to identify dense groups.</w:t>
      </w:r>
    </w:p>
    <w:p>
      <w:pPr>
        <w:keepLines/>
      </w:pPr>
      <w:r>
        <w:t>The UMAP dimension count refers to output coordinates, not cognitive domains or clusters. The neighbour count controls the scale of local relationships in the representation. For HDBSCAN, the minimum cluster size and minimum-samples setting affect which dense groups are retained and which records may be treated as noise. They are algorithm settings rather than clinical thresholds.</w:t>
      </w:r>
    </w:p>
    <w:p>
      <w:pPr>
        <w:keepLines/>
      </w:pPr>
      <w:r>
        <w:t>The patient extension used a separate bounded Bayesian imputer. None of these methods removes the need to consider why tests are missing. Missing at random assumes the missingness probability no longer depends on the missing value after conditioning on observed information. Missing not at random allows that dependence to remain, and standard imputation doesn't resolve it by itself.</w:t>
      </w:r>
    </w:p>
    <w:p>
      <w:r>
        <w:br w:type="page"/>
      </w:r>
    </w:p>
    <w:p>
      <w:pPr>
        <w:pStyle w:val="Heading2"/>
      </w:pPr>
      <w:r>
        <w:t>Slide 27  Clinical association and practical value</w:t>
      </w:r>
    </w:p>
    <w:p>
      <w:pPr>
        <w:pStyle w:val="Timing"/>
      </w:pPr>
      <w:r>
        <w:t>Backup answer    237 words    Outside the timed talk</w:t>
      </w:r>
    </w:p>
    <w:p>
      <w:pPr>
        <w:keepLines/>
      </w:pPr>
      <w:r>
        <w:t>The historical groups had an association with recorded clinical units, with Cramér's V of 0.162. I also asked whether adding the cognitive tier improved prediction beyond broad diagnosis.</w:t>
      </w:r>
    </w:p>
    <w:p>
      <w:pPr>
        <w:keepLines/>
      </w:pPr>
      <w:r>
        <w:t>In the comparison that kept patients grouped during data splitting, adding the tier reduced log loss by 0.0013. Log loss evaluates predicted probabilities, so a reduction indicates improvement in this comparison.</w:t>
      </w:r>
    </w:p>
    <w:p>
      <w:pPr>
        <w:keepLines/>
      </w:pPr>
      <w:r>
        <w:t>Grouping records by patient during splitting helps avoid evaluating on another record from someone already represented in training. The comparison then asks whether the tier adds information beyond broad diagnosis within that evaluation design. An association with clinical unit doesn't automatically imply an improvement in these predictions, which is why I examined both questions.</w:t>
      </w:r>
    </w:p>
    <w:p>
      <w:pPr>
        <w:keepLines/>
      </w:pPr>
      <w:r>
        <w:t>However, the ninety-five-percent patient-bootstrap interval ran from minus 0.0006 to 0.0031. Because it includes zero, the data don't give clear evidence of improvement here.</w:t>
      </w:r>
    </w:p>
    <w:p>
      <w:pPr>
        <w:keepLines/>
      </w:pPr>
      <w:r>
        <w:t>The bootstrap resamples patients while preserving the grouping of their records, so it reflects that dependence structure when estimating uncertainty. The interval spanning zero means the estimated improvement isn't clearly separated from no improvement under this procedure. It also doesn't prove that every possible use of the groups has no value; that would require a different and broader claim.</w:t>
      </w:r>
    </w:p>
    <w:p>
      <w:pPr>
        <w:keepLines/>
      </w:pPr>
      <w:r>
        <w:t>We also lack an independent functional outcome. So I can support an association, but added predictive and clinical value remain unconfirmed. The next test should use external outcomes and compare group membership with the information already available in continuous cognitive scores.</w:t>
      </w:r>
    </w:p>
    <w:sectPr w:rsidR="00FC693F" w:rsidRPr="0006063C" w:rsidSect="00034616">
      <w:headerReference w:type="default" r:id="rId9"/>
      <w:footerReference w:type="default" r:id="rId10"/>
      <w:pgSz w:w="11905" w:h="16838"/>
      <w:pgMar w:top="936" w:right="1123" w:bottom="936"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Zoltan Kunos    Defense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60"/>
    </w:pPr>
    <w:rPr>
      <w:rFonts w:ascii="Arial" w:hAnsi="Arial"/>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hearsalnote">
    <w:name w:val="Rehearsal note"/>
    <w:basedOn w:val="Normal"/>
    <w:pPr>
      <w:spacing w:line="252" w:lineRule="auto" w:after="160"/>
    </w:pPr>
    <w:rPr>
      <w:sz w:val="20"/>
    </w:rPr>
  </w:style>
  <w:style w:type="paragraph" w:customStyle="1" w:styleId="Timing">
    <w:name w:val="Timing"/>
    <w:basedOn w:val="Normal"/>
    <w:pPr>
      <w:keepNext/>
      <w:spacing w:line="252" w:lineRule="auto" w:after="160"/>
    </w:pPr>
    <w:rPr>
      <w:b/>
      <w:sz w:val="20"/>
    </w:rPr>
  </w:style>
  <w:style w:type="paragraph" w:customStyle="1" w:styleId="Pagelabel">
    <w:name w:val="Page label"/>
    <w:basedOn w:val="Normal"/>
    <w:pPr>
      <w:spacing w:line="252" w:lineRule="auto" w:after="160"/>
    </w:pPr>
    <w:rPr>
      <w:sz w:val="20"/>
    </w:rPr>
  </w:style>
  <w:style w:type="paragraph" w:customStyle="1" w:styleId="Detaillabel">
    <w:name w:val="Detail label"/>
    <w:basedOn w:val="Normal"/>
    <w:pPr>
      <w:keepNext/>
      <w:spacing w:line="252" w:lineRule="auto" w:after="80" w:before="80"/>
    </w:pPr>
    <w:rPr>
      <w:b/>
      <w:sz w:val="20"/>
    </w:rPr>
  </w:style>
  <w:style w:type="paragraph" w:customStyle="1" w:styleId="Optionaldetail">
    <w:name w:val="Optional detail"/>
    <w:basedOn w:val="Normal"/>
    <w:pPr>
      <w:spacing w:line="283" w:lineRule="auto" w:after="200"/>
    </w:pPr>
    <w:rPr>
      <w:i/>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thesis defense transcript</dc:title>
  <dc:subject>Expanded spoken script with a 15 minute core and backup slide answers</dc:subject>
  <dc:creator>Zoltan Kunos</dc:creator>
  <cp:keywords/>
  <dc:description>generated by python-docx</dc:description>
  <cp:lastModifiedBy/>
  <cp:revision>1</cp:revision>
  <dcterms:created xsi:type="dcterms:W3CDTF">2013-12-23T23:15:00Z</dcterms:created>
  <dcterms:modified xsi:type="dcterms:W3CDTF">2013-12-23T23:15:00Z</dcterms:modified>
  <cp:category/>
</cp:coreProperties>
</file>