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供应商管理办法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（供应商准入、评价与退出）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本办法适用于为公司提供货物、服务与工程的全部供应商。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供应商按合作金额分为战略供应商、重点供应商与一般供应商三类。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年度合作金额 100 万元以上的为战略供应商。</w:t>
      </w:r>
    </w:p>
    <w:p>
      <w:pPr>
        <w:pStyle w:val="Heading1"/>
      </w:pPr>
      <w:r>
        <w:t>二、准入要求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供应商准入应提交营业执照、开户许可证与近 1 年财务报表。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涉及特殊行业的供应商应提供相应资质证书。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新供应商应通过背景核查，核查内容包括涉诉情况与失信记录。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准入审批由采购部门发起，财务与法务会签，报总经理批准。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准入审核时限为 5 个工作日。</w:t>
      </w:r>
    </w:p>
    <w:p>
      <w:pPr>
        <w:pStyle w:val="Heading1"/>
      </w:pPr>
      <w:r>
        <w:t>三、日常管理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采购部门应建立供应商档案，记录合作历史与履约情况。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同一类目原则上保留不少于 2 家合格供应商。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供应商联系人变更应在 3 个工作日内更新档案。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与供应商的业务往来应通过公司邮箱或系统进行，留存书面记录。</w:t>
      </w:r>
    </w:p>
    <w:p>
      <w:pPr>
        <w:pStyle w:val="Heading1"/>
      </w:pPr>
      <w:r>
        <w:t>四、绩效评价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供应商评价每半年 1 次，评价维度包括质量、交期、价格与服务。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评价采用百分制，质量占 40 分、交期占 25 分、价格占 20 分、服务占 15 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得分 85 分以上的为优秀，70 分至 84 分为合格，70 分以下为不合格。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连续 2 次评价不合格的供应商应启动整改，整改期不超过 3 个月。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整改后仍不合格的，移出合格供应商名录。</w:t>
      </w:r>
    </w:p>
    <w:p>
      <w:pPr>
        <w:pStyle w:val="Heading1"/>
      </w:pPr>
      <w:r>
        <w:t>五、廉洁与退出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供应商不得向公司员工赠送现金、礼品或提供其他不正当利益。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发现商业贿赂的，立即终止合作并列入黑名单，3 年内不得重新准入。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供应商主动申请退出的，应提前 30 日书面通知。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合同终止后，供应商应在 15 日内完成资料与物品交接。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本办法由采购部门负责解释。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本办法自发布之日起施行。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